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Amyloid-DNA Composites of Bacterial Biofilms Stimulate Autoimmunity.</w:t>
      </w:r>
    </w:p>
    <w:p>
      <w:r>
        <w:rPr>
          <w:rFonts w:ascii="Courier New" w:hAnsi="Courier New" w:cs="Courier New" w:eastAsia="Courier New"/>
          <w:sz w:val="18"/>
        </w:rPr>
        <w:t>SCIFACT-EVIDENCE-1834762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Research on the human microbiome has established that commensal and pathogenic bacteria can influence obesity, cancer, and autoimmunity through mechanisms mostly unknown.</w:t>
      </w:r>
    </w:p>
    <w:p>
      <w:r>
        <w:rPr>
          <w:rFonts w:ascii="Arial" w:hAnsi="Arial" w:cs="Arial" w:eastAsia="Arial"/>
          <w:sz w:val="22"/>
        </w:rPr>
        <w:t>We found that a component of bacterial biofilms, the amyloid protein curli, irreversibly formed fibers with bacterial DNA during biofilm formation.</w:t>
      </w:r>
    </w:p>
    <w:p>
      <w:r>
        <w:rPr>
          <w:rFonts w:ascii="Arial" w:hAnsi="Arial" w:cs="Arial" w:eastAsia="Arial"/>
          <w:sz w:val="22"/>
        </w:rPr>
        <w:t>This interaction accelerated amyloid polymerization and created potent immunogenic complexes that activated immune cells, including dendritic cells, to produce cytokines such as type I interferons, which are pathogenic in systemic lupus erythematosus (SLE).</w:t>
      </w:r>
    </w:p>
    <w:p>
      <w:r>
        <w:rPr>
          <w:rFonts w:ascii="Arial" w:hAnsi="Arial" w:cs="Arial" w:eastAsia="Arial"/>
          <w:sz w:val="22"/>
        </w:rPr>
        <w:t>When given systemically, curli-DNA composites triggered immune activation and production of autoantibodies in lupus-prone and wild-type mice.</w:t>
      </w:r>
    </w:p>
    <w:p>
      <w:r>
        <w:rPr>
          <w:rFonts w:ascii="Arial" w:hAnsi="Arial" w:cs="Arial" w:eastAsia="Arial"/>
          <w:sz w:val="22"/>
        </w:rPr>
        <w:t>We also found that the infection of lupus-prone mice with curli-producing bacteria triggered higher autoantibody titers compared to curli-deficient bacteria.</w:t>
      </w:r>
    </w:p>
    <w:p>
      <w:r>
        <w:rPr>
          <w:rFonts w:ascii="Arial" w:hAnsi="Arial" w:cs="Arial" w:eastAsia="Arial"/>
          <w:sz w:val="22"/>
        </w:rPr>
        <w:t>These data provide a mechanism by which the microbiome and biofilm-producing enteric infections may contribute to the progression of SLE and point to a potential molecular target for treatment of autoimmunity.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1834762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1834762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Amyloid-DNA Composites of Bacterial Biofilms Stimulate Autoimmunity.</dc:title>
</cp:coreProperties>
</file>