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>
          <w:b w:val="on"/>
          <w:sz w:val="36"/>
        </w:rPr>
        <w:t>Febrile seizures in the developing brain result in persistent modification of neuronal excitability in limbic circuits</w:t>
      </w:r>
    </w:p>
    <w:p>
      <w:r>
        <w:rPr>
          <w:rFonts w:ascii="Courier New" w:hAnsi="Courier New" w:cs="Courier New" w:eastAsia="Courier New"/>
          <w:sz w:val="18"/>
        </w:rPr>
        <w:t>SCIFACT-EVIDENCE-14924526</w:t>
      </w:r>
    </w:p>
    <w:p>
      <w:r>
        <w:rPr>
          <w:rFonts w:ascii="Arial" w:hAnsi="Arial" w:cs="Arial" w:eastAsia="Arial"/>
          <w:sz w:val="22"/>
        </w:rPr>
        <w:t>Febrile (fever-induced) seizures affect 3–5% of infants and young children. Despite the high incidence of febrile seizures, their contribution to the development of epilepsy later in life has remained controversial. Combining a new rat model of complex febrile seizures and patch clamp techniques, we determined that hyperthermia-induced seizures in the immature rat cause a selective presynaptic increase in inhibitory synaptic transmission in the hippocampus that lasts into adulthood. The long-lasting nature of these potent alterations in synaptic communication after febrile seizures does not support the prevalent view of the 'benign' nature of early-life febrile convulsions.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Febrile seizures in the developing brain result in persistent modification of neuronal excitability in limbic circuits</dc:title>
</cp:coreProperties>
</file>