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HTLV-I/II associated disease in England and Wales, 1993-7: retrospective review of serology requests.</w:t>
      </w:r>
    </w:p>
    <w:p>
      <w:r>
        <w:rPr>
          <w:rFonts w:ascii="Courier New" w:hAnsi="Courier New" w:cs="Courier New" w:eastAsia="Courier New"/>
          <w:sz w:val="18"/>
        </w:rPr>
        <w:t>SCIFACT-EVIDENCE-24512064</w:t>
      </w:r>
    </w:p>
    <w:p>
      <w:r>
        <w:rPr>
          <w:rFonts w:ascii="Arial" w:hAnsi="Arial" w:cs="Arial" w:eastAsia="Arial"/>
          <w:sz w:val="22"/>
        </w:rPr>
        <w:t>Apart from HIV two exogenous retroviruses (human T cell leukaemia viruses type I (HTLV-I) and type II (HTLV-II)) infect humans. HTLV-I infection is endemic in Japan, the Caribbean, Africa, and Melanesia and is found among immigrants from these regions in Europe. HTLV-I infection is associated with a 1-5% lifetime risk of adult T cell leukaemia/lymphoma, 1 a 0.25% lifetime risk of HTLV-I associated myelopathy, 2 and other inflammatory conditions (uveitis, alveolitis, and arthritis).1 HTLV-II infection is endemic in some native American and African peoples and among injecting drug users and has been associated with neurological disease.1 Between 1986 and 1992, 100 cases of HTLV-I associated myelopathy and 44 cases of adult T cell leukaemia/lymphoma were diagnosed in the United Kingdom.3 Adult T cell leukaemia/lymphoma was first described in 1977 and patients with it have a mean life expectancy of only six months, so most of the 44 cases were probably incident cases. …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HTLV-I/II associated disease in England and Wales, 1993-7: retrospective review of serology requests.</dc:title>
</cp:coreProperties>
</file>