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Tetraspanin 3 Is Required for the Development and Propagation of Acute Myelogenous Leukemia.</w:t>
      </w:r>
    </w:p>
    <w:p>
      <w:r>
        <w:rPr>
          <w:rFonts w:ascii="Courier New" w:hAnsi="Courier New" w:cs="Courier New" w:eastAsia="Courier New"/>
          <w:sz w:val="18"/>
        </w:rPr>
        <w:t>SCIFACT-EVIDENCE-11369420</w:t>
      </w:r>
    </w:p>
    <w:p>
      <w:r>
        <w:rPr>
          <w:rFonts w:ascii="Arial" w:hAnsi="Arial" w:cs="Arial" w:eastAsia="Arial"/>
          <w:sz w:val="22"/>
        </w:rPr>
        <w:t>Acute Myelogenous Leukemia (AML) is an aggressive cancer that strikes both adults and children and is frequently resistant to therapy. Thus, identifying signals needed for AML propagation is a critical step toward developing new approaches for treating this disease. Here, we show that Tetraspanin 3 is a target of the RNA binding protein Musashi 2, which plays a key role in AML. We generated Tspan3 knockout mice that were born without overt defects. However, Tspan3 deletion impaired leukemia stem cell self-renewal and disease propagation and markedly improved survival in mouse models of AML. Additionally, Tspan3 inhibition blocked growth of AML patient samples, suggesting that Tspan3 is also important in human disease. As part of the mechanism, we show that Tspan3 deficiency disabled responses to CXCL12/SDF-1 and led to defects in AML localization within the niche. These identify Tspan3 as an important regulator of aggressive leukemias and highlight a role for Tspan3 in oncogenesis.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Tetraspanin 3 Is Required for the Development and Propagation of Acute Myelogenous Leukemia.</dc:title>
</cp:coreProperties>
</file>