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left"/>
      </w:pPr>
      <w:r>
        <w:rPr>
          <w:b w:val="on"/>
          <w:sz w:val="36"/>
        </w:rPr>
        <w:t>Induction therapy with autologous mesenchymal stem cells in living-related kidney transplants: a randomized controlled trial.</w:t>
      </w:r>
    </w:p>
    <w:p>
      <w:r>
        <w:rPr>
          <w:rFonts w:ascii="Courier New" w:hAnsi="Courier New" w:cs="Courier New" w:eastAsia="Courier New"/>
          <w:sz w:val="18"/>
        </w:rPr>
        <w:t>SCIFACT-EVIDENCE-10582939</w:t>
      </w:r>
    </w:p>
    <w:p>
      <w:r>
        <w:rPr>
          <w:rFonts w:ascii="Arial" w:hAnsi="Arial" w:cs="Arial" w:eastAsia="Arial"/>
          <w:sz w:val="22"/>
        </w:rPr>
        <w:t>CONTEXT Antibody-based induction therapy plus calcineurin inhibitors (CNIs) reduce acute rejection rates in kidney recipients; however, opportunistic infections and toxic CNI effects remain challenging. Reportedly, mesenchymal stem cells (MSCs) have successfully treated graft-vs-host disease. OBJECTIVE To assess autologous MSCs as replacement of antibody induction for patients with end-stage renal disease who undergo ABO-compatible, cross-match-negative kidney transplants from a living-related donor. DESIGN, SETTING, AND PATIENTS One hundred fifty-nine patients were enrolled in this single-site, prospective, open-label, randomized study from February 2008-May 2009, when recruitment was completed. INTERVENTION Patients were inoculated with marrow-derived autologous MSC (1-2 x 10(6)/kg) at kidney reperfusion and two weeks later. Fifty-three patients received standard-dose and 52 patients received low-dose CNIs (80% of standard); 51 patients in the control group received anti-IL-2 receptor antibody plus standard-dose CNIs. MAIN OUTCOME MEASURES The primary measure was 1-year incidence of acute rejection and renal function (estimated glomerular filtration rate [eGFR]); the secondary measure was patient and graft survival and incidence of adverse events. RESULTS Patient and graft survival at 13 to 30 months was similar in all groups. After 6 months, 4 of 53 patients (7.5%) in the autologous MSC plus standard-dose CNI group (95% CI, 0.4%-14.7%; P = .04) and 4 of 52 patients (7.7%) in the low-dose group (95% CI, 0.5%-14.9%; P = .046) compared with 11 of 51 controls (21.6%; 95% CI, 10.5%-32.6%) had biopsy-confirmed acute rejection. None of the patients in either autologous MSC group had glucorticoid-resistant rejection, whereas 4 patients (7.8%) in the control group did (95% CI, 0.6%-15.1%; overall P = .02). Renal function recovered faster among both MSC groups showing increased eGFR levels during the first month after surgery than the control group. Patients receiving standard-dose CNI had a mean difference of 6.2 mL/min per 1.73 m(2) (95% CI, 0.4-11.9; P=.04) and those in the low-dose CNI of 10.0 mL/min per 1.73 m(2) (95% CI, 3.8-16.2; P=.002). Also, during the 1-year follow-up, combined analysis of MSC-treated groups revealed significantly decreased risk of opportunistic infections than the control group (hazard ratio, 0.42; 95% CI, 0.20-0.85, P=.02)   CONCLUSION Among patients undergoing renal transplant, the use of autologous MSCs compared with anti-IL-2 receptor antibody induction therapy resulted in lower incidence of acute rejection, decreased risk of opportunistic infection, and better estimated renal function at 1 year. TRIAL REGISTRATION clinicaltrials.gov Identifier: NCT00658073.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Induction therapy with autologous mesenchymal stem cells in living-related kidney transplants: a randomized controlled trial.</dc:title>
</cp:coreProperties>
</file>