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left"/>
      </w:pPr>
      <w:r>
        <w:rPr>
          <w:b w:val="on"/>
          <w:sz w:val="36"/>
        </w:rPr>
        <w:t>Large-Scale Movements of IF3 and tRNA during Bacterial Translation Initiation</w:t>
      </w:r>
    </w:p>
    <w:p>
      <w:r>
        <w:rPr>
          <w:rFonts w:ascii="Courier New" w:hAnsi="Courier New" w:cs="Courier New" w:eastAsia="Courier New"/>
          <w:sz w:val="18"/>
        </w:rPr>
        <w:t>SCIFACT-EVIDENCE-16927286</w:t>
      </w:r>
    </w:p>
    <w:p>
      <w:r>
        <w:rPr>
          <w:rFonts w:ascii="Arial" w:hAnsi="Arial" w:cs="Arial" w:eastAsia="Arial"/>
          <w:sz w:val="22"/>
        </w:rPr>
        <w:t>In bacterial translational initiation, three initiation factors (IFs 1-3) enable the selection of initiator tRNA and the start codon in the P site of the 30S ribosomal subunit. Here, we report 11 single-particle cryo-electron microscopy (cryoEM) reconstructions of the complex of bacterial 30S subunit with initiator tRNA, mRNA, and IFs 1-3, representing different steps along the initiation pathway. IF1 provides key anchoring points for IF2 and IF3, thereby enhancing their activities. IF2 positions a domain in an extended conformation appropriate for capturing the formylmethionyl moiety charged on tRNA. IF3 and tRNA undergo large conformational changes to facilitate the accommodation of the formylmethionyl-tRNA (fMet-tRNA(fMet)) into the P site for start codon recognition.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Large-Scale Movements of IF3 and tRNA during Bacterial Translation Initiation</dc:title>
</cp:coreProperties>
</file>