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Epigenetic regulation of miR-184 by MBD1 governs neural stem cell proliferation and differentiation.</w:t>
      </w:r>
    </w:p>
    <w:p>
      <w:r>
        <w:rPr>
          <w:rFonts w:ascii="Courier New" w:hAnsi="Courier New" w:cs="Courier New" w:eastAsia="Courier New"/>
          <w:sz w:val="18"/>
        </w:rPr>
        <w:t>SCIFACT-EVIDENCE-2356950</w:t>
      </w:r>
    </w:p>
    <w:p>
      <w:r>
        <w:rPr>
          <w:rFonts w:ascii="Arial" w:hAnsi="Arial" w:cs="Arial" w:eastAsia="Arial"/>
          <w:sz w:val="22"/>
        </w:rPr>
        <w:t>Methyl-CpG binding protein 1 (MBD1) regulates gene expression via a DNA methylation-mediated epigenetic mechanism. We have previously demonstrated that MBD1 deficiency impairs adult neural stem/progenitor cell (aNSC) differentiation and neurogenesis, but the underlying mechanism was unclear. Here, we show that MBD1 regulates the expression of several microRNAs in aNSCs and, specifically, that miR-184 is directly repressed by MBD1. High levels of miR-184 promoted proliferation but inhibited differentiation of aNSCs, whereas inhibition of miR-184 rescued the phenotypes associated with MBD1 deficiency. We further found that miR-184 regulates the expression of Numblike (Numbl), a known regulator of brain development, by binding to the 3'-UTR of Numbl mRNA and affecting its translation. Expression of exogenous Numbl could rescue the aNSC defects that result from either miR-184 overexpression or MBD1 deficiency. Therefore, MBD1, miR-184, and Numbl form a regulatory network that helps control the balance between proliferation and differentiation of aNSCs.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Epigenetic regulation of miR-184 by MBD1 governs neural stem cell proliferation and differentiation.</dc:title>
</cp:coreProperties>
</file>