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Genome-wide maps of histone modifications unwind in vivo chromatin states of the hair follicle lineage.</w:t>
      </w:r>
    </w:p>
    <w:p>
      <w:r>
        <w:rPr>
          <w:rFonts w:ascii="Courier New" w:hAnsi="Courier New" w:cs="Courier New" w:eastAsia="Courier New"/>
          <w:sz w:val="18"/>
        </w:rPr>
        <w:t>SCIFACT-EVIDENCE-31141365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Using mouse skin, where bountiful reservoirs of synchronized hair follicle stem cells (HF-SCs) fuel cycles of regeneration, we explore how adult SCs remodel chromatin in response to activating cues.</w:t>
      </w:r>
    </w:p>
    <w:p>
      <w:r>
        <w:rPr>
          <w:rFonts w:ascii="Arial" w:hAnsi="Arial" w:cs="Arial" w:eastAsia="Arial"/>
          <w:sz w:val="22"/>
        </w:rPr>
        <w:t>By profiling global mRNA and chromatin changes in quiescent and activated HF-SCs and their committed, transit-amplifying (TA) progeny, we show that polycomb-group (PcG)-mediated H3K27-trimethylation features prominently in HF-lineage progression by mechanisms distinct from embryonic-SCs.</w:t>
      </w:r>
    </w:p>
    <w:p>
      <w:r>
        <w:rPr>
          <w:rFonts w:ascii="Arial" w:hAnsi="Arial" w:cs="Arial" w:eastAsia="Arial"/>
          <w:sz w:val="22"/>
        </w:rPr>
        <w:t>In HF-SCs, PcG represses nonskin lineages and HF differentiation.</w:t>
      </w:r>
    </w:p>
    <w:p>
      <w:r>
        <w:rPr>
          <w:rFonts w:ascii="Arial" w:hAnsi="Arial" w:cs="Arial" w:eastAsia="Arial"/>
          <w:sz w:val="22"/>
        </w:rPr>
        <w:t>In TA progeny, nonskin regulators remain PcG-repressed, HF-SC regulators acquire H3K27me3-marks, and HF-lineage regulators lose them.</w:t>
      </w:r>
    </w:p>
    <w:p>
      <w:r>
        <w:rPr>
          <w:rFonts w:ascii="Arial" w:hAnsi="Arial" w:cs="Arial" w:eastAsia="Arial"/>
          <w:sz w:val="22"/>
        </w:rPr>
        <w:t>Interestingly, genes poised in embryonic stem cells, active in HF-SCs, and PcG-repressed in TA progeny encode not only key transcription factors, but also signaling regulators.</w:t>
      </w:r>
    </w:p>
    <w:p>
      <w:r>
        <w:rPr>
          <w:rFonts w:ascii="Arial" w:hAnsi="Arial" w:cs="Arial" w:eastAsia="Arial"/>
          <w:sz w:val="22"/>
        </w:rPr>
        <w:t>We document their importance in balancing HF-SC quiescence, underscoring the power of chromatin mapping in dissecting SC behavior.</w:t>
      </w:r>
    </w:p>
    <w:p>
      <w:r>
        <w:rPr>
          <w:rFonts w:ascii="Arial" w:hAnsi="Arial" w:cs="Arial" w:eastAsia="Arial"/>
          <w:sz w:val="22"/>
        </w:rPr>
        <w:t>Our findings explain how HF-SCs cycle through quiescent and activated states without losing stemness and define roles for PcG-mediated repression in governing a fate switch irreversibly.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31141365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31141365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Genome-wide maps of histone modifications unwind in vivo chromatin states of the hair follicle lineage.</dc:title>
</cp:coreProperties>
</file>