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  <w:jc w:val="left"/>
      </w:pPr>
      <w:r>
        <w:rPr>
          <w:b w:val="on"/>
          <w:sz w:val="36"/>
        </w:rPr>
        <w:t>Mitochondria: Dynamic Organelles in Disease, Aging, and Development</w:t>
      </w:r>
    </w:p>
    <w:p>
      <w:r>
        <w:rPr>
          <w:rFonts w:ascii="Courier New" w:hAnsi="Courier New" w:cs="Courier New" w:eastAsia="Courier New"/>
          <w:sz w:val="18"/>
        </w:rPr>
        <w:t>SCIFACT-EVIDENCE-8551160</w:t>
      </w:r>
    </w:p>
    <w:p>
      <w:pPr>
        <w:pStyle w:val="Heading2"/>
        <w:jc w:val="left"/>
      </w:pPr>
      <w:r>
        <w:rPr>
          <w:b w:val="on"/>
          <w:sz w:val="28"/>
        </w:rPr>
        <w:t>Evidence abstract</w:t>
      </w:r>
    </w:p>
    <w:p>
      <w:r>
        <w:rPr>
          <w:rFonts w:ascii="Arial" w:hAnsi="Arial" w:cs="Arial" w:eastAsia="Arial"/>
          <w:sz w:val="22"/>
        </w:rPr>
        <w:t>Mitochondria are the primary energy-generating system in most eukaryotic cells.</w:t>
      </w:r>
    </w:p>
    <w:p>
      <w:r>
        <w:rPr>
          <w:rFonts w:ascii="Arial" w:hAnsi="Arial" w:cs="Arial" w:eastAsia="Arial"/>
          <w:sz w:val="22"/>
        </w:rPr>
        <w:t>Additionally, they participate in intermediary metabolism, calcium signaling, and apoptosis.</w:t>
      </w:r>
    </w:p>
    <w:p>
      <w:r>
        <w:rPr>
          <w:rFonts w:ascii="Arial" w:hAnsi="Arial" w:cs="Arial" w:eastAsia="Arial"/>
          <w:sz w:val="22"/>
        </w:rPr>
        <w:t>Given these well-established functions, it might be expected that mitochondrial dysfunction would give rise to a simple and predictable set of defects in all tissues.</w:t>
      </w:r>
    </w:p>
    <w:p>
      <w:r>
        <w:rPr>
          <w:rFonts w:ascii="Arial" w:hAnsi="Arial" w:cs="Arial" w:eastAsia="Arial"/>
          <w:sz w:val="22"/>
        </w:rPr>
        <w:t>However, mitochondrial dysfunction has pleiotropic effects in multicellular organisms.</w:t>
      </w:r>
    </w:p>
    <w:p>
      <w:r>
        <w:rPr>
          <w:rFonts w:ascii="Arial" w:hAnsi="Arial" w:cs="Arial" w:eastAsia="Arial"/>
          <w:sz w:val="22"/>
        </w:rPr>
        <w:t>Clearly, much about the basic biology of mitochondria remains to be understood.</w:t>
      </w:r>
    </w:p>
    <w:p>
      <w:r>
        <w:rPr>
          <w:rFonts w:ascii="Arial" w:hAnsi="Arial" w:cs="Arial" w:eastAsia="Arial"/>
          <w:sz w:val="22"/>
        </w:rPr>
        <w:t>Here we discuss recent work that suggests that the dynamics (fusion and fission) of these organelles is important in development and disease.</w:t>
      </w:r>
    </w:p>
    <w:p>
      <w:pPr>
        <w:pStyle w:val="Heading2"/>
        <w:jc w:val="left"/>
      </w:pPr>
      <w:r>
        <w:rPr>
          <w:b w:val="on"/>
          <w:sz w:val="28"/>
        </w:rPr>
        <w:t>Document metadata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r>
              <w:t>Corpus</w:t>
            </w:r>
          </w:p>
        </w:tc>
        <w:tc>
          <w:p>
            <w:r>
              <w:t>SciFact</w:t>
            </w:r>
          </w:p>
        </w:tc>
      </w:tr>
      <w:tr>
        <w:tc>
          <w:p>
            <w:r>
              <w:t>Document ID</w:t>
            </w:r>
          </w:p>
        </w:tc>
        <w:tc>
          <w:p>
            <w:r>
              <w:t>8551160</w:t>
            </w:r>
          </w:p>
        </w:tc>
      </w:tr>
    </w:tbl>
    <w:sectPr>
      <w:headerReference w:type="default" r:id="rId2"/>
      <w:footerReference w:type="default" r:id="rId3"/>
    </w:sectPr>
  </w:body>
</w:document>
</file>

<file path=word/footer1.xml><?xml version="1.0" encoding="utf-8"?>
<w:ftr xmlns:w="http://schemas.openxmlformats.org/wordprocessingml/2006/main">
  <w:p>
    <w:r>
      <w:t>Document 8551160</w:t>
    </w:r>
  </w:p>
</w:ftr>
</file>

<file path=word/header1.xml><?xml version="1.0" encoding="utf-8"?>
<w:hdr xmlns:w="http://schemas.openxmlformats.org/wordprocessingml/2006/main">
  <w:p>
    <w:r>
      <w:t>SciFact controlled format benchmark</w:t>
    </w:r>
  </w:p>
</w:hdr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header1.xml" Type="http://schemas.openxmlformats.org/officeDocument/2006/relationships/header"/><Relationship Id="rId3" Target="footer1.xml" Type="http://schemas.openxmlformats.org/officeDocument/2006/relationships/foot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2026-07-29T00:00:00Z</dcterms:created>
  <dc:creator>ai-agent-scaffold-benchmark</dc:creator>
  <dc:title>Mitochondria: Dynamic Organelles in Disease, Aging, and Development</dc:title>
</cp:coreProperties>
</file>