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Kinetics and Fidelity of the Repair of Cas9-Induced Double-Strand DNA Breaks</w:t>
      </w:r>
    </w:p>
    <w:p>
      <w:r>
        <w:rPr>
          <w:rFonts w:ascii="Courier New" w:hAnsi="Courier New" w:cs="Courier New" w:eastAsia="Courier New"/>
          <w:sz w:val="18"/>
        </w:rPr>
        <w:t>SCIFACT-EVIDENCE-44172171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The RNA-guided DNA endonuclease Cas9 is a powerful tool for genome editing.</w:t>
      </w:r>
    </w:p>
    <w:p>
      <w:r>
        <w:rPr>
          <w:rFonts w:ascii="Arial" w:hAnsi="Arial" w:cs="Arial" w:eastAsia="Arial"/>
          <w:sz w:val="22"/>
        </w:rPr>
        <w:t>Little is known about the kinetics and fidelity of the double-strand break (DSB) repair process that follows a Cas9 cutting event in living cells.</w:t>
      </w:r>
    </w:p>
    <w:p>
      <w:r>
        <w:rPr>
          <w:rFonts w:ascii="Arial" w:hAnsi="Arial" w:cs="Arial" w:eastAsia="Arial"/>
          <w:sz w:val="22"/>
        </w:rPr>
        <w:t>Here, we developed a strategy to measure the kinetics of DSB repair for single loci in human cells.</w:t>
      </w:r>
    </w:p>
    <w:p>
      <w:r>
        <w:rPr>
          <w:rFonts w:ascii="Arial" w:hAnsi="Arial" w:cs="Arial" w:eastAsia="Arial"/>
          <w:sz w:val="22"/>
        </w:rPr>
        <w:t>Quantitative modeling of repaired DNA in time series after Cas9 activation reveals variable and often slow repair rates, with half-life times up to ∼10 hr.</w:t>
      </w:r>
    </w:p>
    <w:p>
      <w:r>
        <w:rPr>
          <w:rFonts w:ascii="Arial" w:hAnsi="Arial" w:cs="Arial" w:eastAsia="Arial"/>
          <w:sz w:val="22"/>
        </w:rPr>
        <w:t>Furthermore, repair of the DSBs tends to be error prone.</w:t>
      </w:r>
    </w:p>
    <w:p>
      <w:r>
        <w:rPr>
          <w:rFonts w:ascii="Arial" w:hAnsi="Arial" w:cs="Arial" w:eastAsia="Arial"/>
          <w:sz w:val="22"/>
        </w:rPr>
        <w:t>Both classical and microhomology-mediated end joining pathways contribute to the erroneous repair.</w:t>
      </w:r>
    </w:p>
    <w:p>
      <w:r>
        <w:rPr>
          <w:rFonts w:ascii="Arial" w:hAnsi="Arial" w:cs="Arial" w:eastAsia="Arial"/>
          <w:sz w:val="22"/>
        </w:rPr>
        <w:t>Estimation of their individual rate constants indicates that the balance between these two pathways changes over time and can be altered by additional ionizing radiation.</w:t>
      </w:r>
    </w:p>
    <w:p>
      <w:r>
        <w:rPr>
          <w:rFonts w:ascii="Arial" w:hAnsi="Arial" w:cs="Arial" w:eastAsia="Arial"/>
          <w:sz w:val="22"/>
        </w:rPr>
        <w:t>Our approach provides quantitative insights into DSB repair kinetics and fidelity in single loci and indicates that Cas9-induced DSBs are repaired in an unusual manner.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44172171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44172171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Kinetics and Fidelity of the Repair of Cas9-Induced Double-Strand DNA Breaks</dc:title>
</cp:coreProperties>
</file>