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Targeting A20 Decreases Glioma Stem Cell Survival and Tumor Growth</w:t>
      </w:r>
    </w:p>
    <w:p>
      <w:r>
        <w:rPr>
          <w:rFonts w:ascii="Courier New" w:hAnsi="Courier New" w:cs="Courier New" w:eastAsia="Courier New"/>
          <w:sz w:val="18"/>
        </w:rPr>
        <w:t>SCIFACT-EVIDENCE-33370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Glioblastomas are deadly cancers that display a functional cellular hierarchy maintained by self-renewing glioblastoma stem cells (GSCs).</w:t>
      </w:r>
    </w:p>
    <w:p>
      <w:r>
        <w:rPr>
          <w:rFonts w:ascii="Arial" w:hAnsi="Arial" w:cs="Arial" w:eastAsia="Arial"/>
          <w:sz w:val="22"/>
        </w:rPr>
        <w:t>GSCs are regulated by molecular pathways distinct from the bulk tumor that may be useful therapeutic targets.</w:t>
      </w:r>
    </w:p>
    <w:p>
      <w:r>
        <w:rPr>
          <w:rFonts w:ascii="Arial" w:hAnsi="Arial" w:cs="Arial" w:eastAsia="Arial"/>
          <w:sz w:val="22"/>
        </w:rPr>
        <w:t>We determined that A20 (TNFAIP3), a regulator of cell survival and the NF-kappaB pathway, is overexpressed in GSCs relative to non-stem glioblastoma cells at both the mRNA and protein levels.</w:t>
      </w:r>
    </w:p>
    <w:p>
      <w:r>
        <w:rPr>
          <w:rFonts w:ascii="Arial" w:hAnsi="Arial" w:cs="Arial" w:eastAsia="Arial"/>
          <w:sz w:val="22"/>
        </w:rPr>
        <w:t>To determine the functional significance of A20 in GSCs, we targeted A20 expression with lentiviral-mediated delivery of short hairpin RNA (shRNA).</w:t>
      </w:r>
    </w:p>
    <w:p>
      <w:r>
        <w:rPr>
          <w:rFonts w:ascii="Arial" w:hAnsi="Arial" w:cs="Arial" w:eastAsia="Arial"/>
          <w:sz w:val="22"/>
        </w:rPr>
        <w:t>Inhibiting A20 expression decreased GSC growth and survival through mechanisms associated with decreased cell-cycle progression and decreased phosphorylation of p65/RelA.</w:t>
      </w:r>
    </w:p>
    <w:p>
      <w:r>
        <w:rPr>
          <w:rFonts w:ascii="Arial" w:hAnsi="Arial" w:cs="Arial" w:eastAsia="Arial"/>
          <w:sz w:val="22"/>
        </w:rPr>
        <w:t>Elevated levels of A20 in GSCs contributed to apoptotic resistance: GSCs were less susceptible to TNFalpha-induced cell death than matched non-stem glioma cells, but A20 knockdown sensitized GSCs to TNFalpha-mediated apoptosis.</w:t>
      </w:r>
    </w:p>
    <w:p>
      <w:r>
        <w:rPr>
          <w:rFonts w:ascii="Arial" w:hAnsi="Arial" w:cs="Arial" w:eastAsia="Arial"/>
          <w:sz w:val="22"/>
        </w:rPr>
        <w:t>The decreased survival of GSCs upon A20 knockdown contributed to the reduced ability of these cells to self-renew in primary and secondary neurosphere formation assays.</w:t>
      </w:r>
    </w:p>
    <w:p>
      <w:r>
        <w:rPr>
          <w:rFonts w:ascii="Arial" w:hAnsi="Arial" w:cs="Arial" w:eastAsia="Arial"/>
          <w:sz w:val="22"/>
        </w:rPr>
        <w:t>The tumorigenic potential of GSCs was decreased with A20 targeting, resulting in increased survival of mice bearing human glioma xenografts.</w:t>
      </w:r>
    </w:p>
    <w:p>
      <w:r>
        <w:rPr>
          <w:rFonts w:ascii="Arial" w:hAnsi="Arial" w:cs="Arial" w:eastAsia="Arial"/>
          <w:sz w:val="22"/>
        </w:rPr>
        <w:t>In silico analysis of a glioma patient genomic database indicates that A20 overexpression and amplification is inversely correlated with survival.</w:t>
      </w:r>
    </w:p>
    <w:p>
      <w:r>
        <w:rPr>
          <w:rFonts w:ascii="Arial" w:hAnsi="Arial" w:cs="Arial" w:eastAsia="Arial"/>
          <w:sz w:val="22"/>
        </w:rPr>
        <w:t>Together these data indicate that A20 contributes to glioma maintenance through effects on the glioma stem cell subpopulation.</w:t>
      </w:r>
    </w:p>
    <w:p>
      <w:r>
        <w:rPr>
          <w:rFonts w:ascii="Arial" w:hAnsi="Arial" w:cs="Arial" w:eastAsia="Arial"/>
          <w:sz w:val="22"/>
        </w:rPr>
        <w:t>Although inactivating mutations in A20 in lymphoma suggest A20 can act as a tumor suppressor, similar point mutations have not been identified through glioma genomic sequencing: in fact, our data suggest A20 may function as a tumor enhancer in glioma through promotion of GSC survival.</w:t>
      </w:r>
    </w:p>
    <w:p>
      <w:r>
        <w:rPr>
          <w:rFonts w:ascii="Arial" w:hAnsi="Arial" w:cs="Arial" w:eastAsia="Arial"/>
          <w:sz w:val="22"/>
        </w:rPr>
        <w:t>A20 anticancer therapies should therefore be viewed with caution as effects will likely differ depending on the tumor type.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33370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33370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Targeting A20 Decreases Glioma Stem Cell Survival and Tumor Growth</dc:title>
</cp:coreProperties>
</file>