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Kidney paired donation and optimizing the use of live donor organs.</w:t>
      </w:r>
    </w:p>
    <w:p>
      <w:r>
        <w:rPr>
          <w:rFonts w:ascii="Courier New" w:hAnsi="Courier New" w:cs="Courier New" w:eastAsia="Courier New"/>
          <w:sz w:val="18"/>
        </w:rPr>
        <w:t>SCIFACT-EVIDENCE-16737210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CONTEXT Blood type and crossmatch incompatibility will exclude at least one third of patients in need from receiving a live donor kidney transplant.</w:t>
      </w:r>
    </w:p>
    <w:p>
      <w:r>
        <w:rPr>
          <w:rFonts w:ascii="Arial" w:hAnsi="Arial" w:cs="Arial" w:eastAsia="Arial"/>
          <w:sz w:val="22"/>
        </w:rPr>
        <w:t>Kidney paired donation (KPD) offers incompatible donor/recipient pairs the opportunity to match for compatible transplants.</w:t>
      </w:r>
    </w:p>
    <w:p>
      <w:r>
        <w:rPr>
          <w:rFonts w:ascii="Arial" w:hAnsi="Arial" w:cs="Arial" w:eastAsia="Arial"/>
          <w:sz w:val="22"/>
        </w:rPr>
        <w:t>Despite its increasing popularity, very few transplants have resulted from KPD.</w:t>
      </w:r>
    </w:p>
    <w:p>
      <w:r>
        <w:rPr>
          <w:rFonts w:ascii="Arial" w:hAnsi="Arial" w:cs="Arial" w:eastAsia="Arial"/>
          <w:sz w:val="22"/>
        </w:rPr>
        <w:t>OBJECTIVE To determine the potential impact of improved matching schemes on the number and quality of transplants achievable with KPD.</w:t>
      </w:r>
    </w:p>
    <w:p>
      <w:r>
        <w:rPr>
          <w:rFonts w:ascii="Arial" w:hAnsi="Arial" w:cs="Arial" w:eastAsia="Arial"/>
          <w:sz w:val="22"/>
        </w:rPr>
        <w:t>DESIGN, SETTING, AND POPULATION We developed a model that simulates pools of incompatible donor/recipient pairs.</w:t>
      </w:r>
    </w:p>
    <w:p>
      <w:r>
        <w:rPr>
          <w:rFonts w:ascii="Arial" w:hAnsi="Arial" w:cs="Arial" w:eastAsia="Arial"/>
          <w:sz w:val="22"/>
        </w:rPr>
        <w:t>We designed a mathematically verifiable optimized matching algorithm and compared it with the scheme currently used in some centers and regions.</w:t>
      </w:r>
    </w:p>
    <w:p>
      <w:r>
        <w:rPr>
          <w:rFonts w:ascii="Arial" w:hAnsi="Arial" w:cs="Arial" w:eastAsia="Arial"/>
          <w:sz w:val="22"/>
        </w:rPr>
        <w:t>Simulated patients from the general community with characteristics drawn from distributions describing end-stage renal disease patients eligible for renal transplantation and their willing and eligible live donors.</w:t>
      </w:r>
    </w:p>
    <w:p>
      <w:r>
        <w:rPr>
          <w:rFonts w:ascii="Arial" w:hAnsi="Arial" w:cs="Arial" w:eastAsia="Arial"/>
          <w:sz w:val="22"/>
        </w:rPr>
        <w:t>MAIN OUTCOME MEASURES Number of kidneys matched, HLA mismatch of matched kidneys, and number of grafts surviving 5 years after transplantation.</w:t>
      </w:r>
    </w:p>
    <w:p>
      <w:r>
        <w:rPr>
          <w:rFonts w:ascii="Arial" w:hAnsi="Arial" w:cs="Arial" w:eastAsia="Arial"/>
          <w:sz w:val="22"/>
        </w:rPr>
        <w:t>RESULTS A national optimized matching algorithm would result in more transplants (47.7% vs 42.0%, P&lt;.001), better HLA concordance (3.0 vs 4.5 mismatched antigens; P&lt;.001), more grafts surviving at 5 years (34.9% vs 28.7%; P&lt;.001), and a reduction in the number of pairs required to travel (2.9% vs 18.4%; P&lt;.001) when compared with an extension of the currently used first-accept scheme to a national level.</w:t>
      </w:r>
    </w:p>
    <w:p>
      <w:r>
        <w:rPr>
          <w:rFonts w:ascii="Arial" w:hAnsi="Arial" w:cs="Arial" w:eastAsia="Arial"/>
          <w:sz w:val="22"/>
        </w:rPr>
        <w:t>Furthermore, highly sensitized patients would benefit 6-fold from a national optimized scheme (2.3% vs 14.1% successfully matched; P&lt;.001).</w:t>
      </w:r>
    </w:p>
    <w:p>
      <w:r>
        <w:rPr>
          <w:rFonts w:ascii="Arial" w:hAnsi="Arial" w:cs="Arial" w:eastAsia="Arial"/>
          <w:sz w:val="22"/>
        </w:rPr>
        <w:t>Even if only 7% of patients awaiting kidney transplantation participated in an optimized national KPD program, the health care system could save as much as $750 million.</w:t>
      </w:r>
    </w:p>
    <w:p>
      <w:r>
        <w:rPr>
          <w:rFonts w:ascii="Arial" w:hAnsi="Arial" w:cs="Arial" w:eastAsia="Arial"/>
          <w:sz w:val="22"/>
        </w:rPr>
        <w:t>CONCLUSIONS The combination of a national KPD program and a mathematically optimized matching algorithm yields more matches with lower HLA disparity.</w:t>
      </w:r>
    </w:p>
    <w:p>
      <w:r>
        <w:rPr>
          <w:rFonts w:ascii="Arial" w:hAnsi="Arial" w:cs="Arial" w:eastAsia="Arial"/>
          <w:sz w:val="22"/>
        </w:rPr>
        <w:t>Optimized matching affords patients the flexibility of customizing their matching priorities and the security of knowing that the greatest number of high-quality matches will be found and distributed equitably.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16737210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16737210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Kidney paired donation and optimizing the use of live donor organs.</dc:title>
</cp:coreProperties>
</file>