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Tracking the fate of glomerular epithelial cells in vivo using serial multiphoton imaging in novel mouse models with fluorescent lineage tags</w:t>
      </w:r>
    </w:p>
    <w:p>
      <w:r>
        <w:rPr>
          <w:rFonts w:ascii="Courier New" w:hAnsi="Courier New" w:cs="Courier New" w:eastAsia="Courier New"/>
          <w:sz w:val="18"/>
        </w:rPr>
        <w:t>SCIFACT-EVIDENCE-123859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Podocytes are critical in the maintenance of a healthy glomerular filter; however, they have been difficult to study in the intact kidney because of technical limitations.</w:t>
      </w:r>
    </w:p>
    <w:p>
      <w:r>
        <w:rPr>
          <w:rFonts w:ascii="Arial" w:hAnsi="Arial" w:cs="Arial" w:eastAsia="Arial"/>
          <w:sz w:val="22"/>
        </w:rPr>
        <w:t>Here we report the development of serial multiphoton microscopy (MPM) of the same glomeruli over several days to visualize the motility of podocytes and parietal epithelial cells (PECs) in vivo.</w:t>
      </w:r>
    </w:p>
    <w:p>
      <w:r>
        <w:rPr>
          <w:rFonts w:ascii="Arial" w:hAnsi="Arial" w:cs="Arial" w:eastAsia="Arial"/>
          <w:sz w:val="22"/>
        </w:rPr>
        <w:t>In podocin-GFP mice, podocytes formed sporadic multicellular clusters after unilateral ureteral ligation and migrated into the parietal Bowman's capsule.</w:t>
      </w:r>
    </w:p>
    <w:p>
      <w:r>
        <w:rPr>
          <w:rFonts w:ascii="Arial" w:hAnsi="Arial" w:cs="Arial" w:eastAsia="Arial"/>
          <w:sz w:val="22"/>
        </w:rPr>
        <w:t>The tracking of single cells in podocin-confetti mice featuring cell-specific expression of CFP, GFP, YFP or RFP revealed the simultaneous migration of multiple podocytes.</w:t>
      </w:r>
    </w:p>
    <w:p>
      <w:r>
        <w:rPr>
          <w:rFonts w:ascii="Arial" w:hAnsi="Arial" w:cs="Arial" w:eastAsia="Arial"/>
          <w:sz w:val="22"/>
        </w:rPr>
        <w:t>In phosphoenolpyruvate carboxykinase (PEPCK)-GFP mice, serial MPM found PEC-to-podocyte migration and nanotubule connections.</w:t>
      </w:r>
    </w:p>
    <w:p>
      <w:r>
        <w:rPr>
          <w:rFonts w:ascii="Arial" w:hAnsi="Arial" w:cs="Arial" w:eastAsia="Arial"/>
          <w:sz w:val="22"/>
        </w:rPr>
        <w:t>Our data support a highly dynamic rather than a static nature of the glomerular environment and cellular composition.</w:t>
      </w:r>
    </w:p>
    <w:p>
      <w:r>
        <w:rPr>
          <w:rFonts w:ascii="Arial" w:hAnsi="Arial" w:cs="Arial" w:eastAsia="Arial"/>
          <w:sz w:val="22"/>
        </w:rPr>
        <w:t>Future application of this new approach should advance our understanding of the mechanisms of glomerular injury and regeneration.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123859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123859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Tracking the fate of glomerular epithelial cells in vivo using serial multiphoton imaging in novel mouse models with fluorescent lineage tags</dc:title>
</cp:coreProperties>
</file>