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Immune signaling by RIG-I-like receptors.</w:t>
      </w:r>
    </w:p>
    <w:p>
      <w:r>
        <w:rPr>
          <w:rFonts w:ascii="Courier New" w:hAnsi="Courier New" w:cs="Courier New" w:eastAsia="Courier New"/>
          <w:sz w:val="18"/>
        </w:rPr>
        <w:t>SCIFACT-EVIDENCE-31272411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RIG-I-like receptors (RLRs) RIG-I, MDA5, and LGP2 play a major role in pathogen sensing of RNA virus infection to initiate and modulate antiviral immunity.</w:t>
      </w:r>
    </w:p>
    <w:p>
      <w:r>
        <w:rPr>
          <w:rFonts w:ascii="Arial" w:hAnsi="Arial" w:cs="Arial" w:eastAsia="Arial"/>
          <w:sz w:val="22"/>
        </w:rPr>
        <w:t>The RLRs detect viral RNA ligands or processed self RNA in the cytoplasm to trigger innate immunity and inflammation and to impart gene expression that serves to control infection.</w:t>
      </w:r>
    </w:p>
    <w:p>
      <w:r>
        <w:rPr>
          <w:rFonts w:ascii="Arial" w:hAnsi="Arial" w:cs="Arial" w:eastAsia="Arial"/>
          <w:sz w:val="22"/>
        </w:rPr>
        <w:t>Importantly, RLRs cooperate in signaling crosstalk networks with Toll-like receptors and other factors to impart innate immunity and to modulate the adaptive immune response.</w:t>
      </w:r>
    </w:p>
    <w:p>
      <w:r>
        <w:rPr>
          <w:rFonts w:ascii="Arial" w:hAnsi="Arial" w:cs="Arial" w:eastAsia="Arial"/>
          <w:sz w:val="22"/>
        </w:rPr>
        <w:t>RLR regulation occurs at a variety of levels ranging from autoregulation to ligand and cofactor interactions and posttranslational modifications.</w:t>
      </w:r>
    </w:p>
    <w:p>
      <w:r>
        <w:rPr>
          <w:rFonts w:ascii="Arial" w:hAnsi="Arial" w:cs="Arial" w:eastAsia="Arial"/>
          <w:sz w:val="22"/>
        </w:rPr>
        <w:t>Abberant RLR signaling or dysregulation of RLR expression is now implicated in the development of autoimmune diseases.</w:t>
      </w:r>
    </w:p>
    <w:p>
      <w:r>
        <w:rPr>
          <w:rFonts w:ascii="Arial" w:hAnsi="Arial" w:cs="Arial" w:eastAsia="Arial"/>
          <w:sz w:val="22"/>
        </w:rPr>
        <w:t>Understanding the processes of RLR signaling and response will provide insights to guide RLR-targeted therapeutics for antiviral and immune-modifying applications.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31272411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31272411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Immune signaling by RIG-I-like receptors.</dc:title>
</cp:coreProperties>
</file>