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left"/>
      </w:pPr>
      <w:r>
        <w:rPr>
          <w:b w:val="on"/>
          <w:sz w:val="36"/>
        </w:rPr>
        <w:t>Assessing the ceRNA hypothesis with quantitative measurements of miRNA and target abundance.</w:t>
      </w:r>
    </w:p>
    <w:p>
      <w:r>
        <w:rPr>
          <w:rFonts w:ascii="Courier New" w:hAnsi="Courier New" w:cs="Courier New" w:eastAsia="Courier New"/>
          <w:sz w:val="18"/>
        </w:rPr>
        <w:t>SCIFACT-EVIDENCE-18421962</w:t>
      </w:r>
    </w:p>
    <w:p>
      <w:pPr>
        <w:pStyle w:val="Heading2"/>
        <w:jc w:val="left"/>
      </w:pPr>
      <w:r>
        <w:rPr>
          <w:b w:val="on"/>
          <w:sz w:val="28"/>
        </w:rPr>
        <w:t>Evidence abstract</w:t>
      </w:r>
    </w:p>
    <w:p>
      <w:r>
        <w:rPr>
          <w:rFonts w:ascii="Arial" w:hAnsi="Arial" w:cs="Arial" w:eastAsia="Arial"/>
          <w:sz w:val="22"/>
        </w:rPr>
        <w:t>Recent studies have reported that competitive endogenous RNAs (ceRNAs) can act as sponges for a microRNA (miRNA) through their binding sites and that changes in ceRNA abundances from individual genes can modulate the activity of miRNAs.</w:t>
      </w:r>
    </w:p>
    <w:p>
      <w:r>
        <w:rPr>
          <w:rFonts w:ascii="Arial" w:hAnsi="Arial" w:cs="Arial" w:eastAsia="Arial"/>
          <w:sz w:val="22"/>
        </w:rPr>
        <w:t>Consideration of this hypothesis would benefit from knowing the quantitative relationship between a miRNA and its endogenous target sites.</w:t>
      </w:r>
    </w:p>
    <w:p>
      <w:r>
        <w:rPr>
          <w:rFonts w:ascii="Arial" w:hAnsi="Arial" w:cs="Arial" w:eastAsia="Arial"/>
          <w:sz w:val="22"/>
        </w:rPr>
        <w:t>Here, we altered intracellular target site abundance through expression of an miR-122 target in hepatocytes and livers and analyzed the effects on miR-122 target genes.</w:t>
      </w:r>
    </w:p>
    <w:p>
      <w:r>
        <w:rPr>
          <w:rFonts w:ascii="Arial" w:hAnsi="Arial" w:cs="Arial" w:eastAsia="Arial"/>
          <w:sz w:val="22"/>
        </w:rPr>
        <w:t>Target repression was released in a threshold-like manner at high target site abundance (≥1.5 × 10(5) added target sites per cell), and this threshold was insensitive to the effective levels of the miRNA.</w:t>
      </w:r>
    </w:p>
    <w:p>
      <w:r>
        <w:rPr>
          <w:rFonts w:ascii="Arial" w:hAnsi="Arial" w:cs="Arial" w:eastAsia="Arial"/>
          <w:sz w:val="22"/>
        </w:rPr>
        <w:t>Furthermore, in response to extreme metabolic liver disease models, global target site abundance of hepatocytes did not change sufficiently to affect miRNA-mediated repression.</w:t>
      </w:r>
    </w:p>
    <w:p>
      <w:r>
        <w:rPr>
          <w:rFonts w:ascii="Arial" w:hAnsi="Arial" w:cs="Arial" w:eastAsia="Arial"/>
          <w:sz w:val="22"/>
        </w:rPr>
        <w:t>Thus, modulation of miRNA target abundance is unlikely to cause significant effects on gene expression and metabolism through a ceRNA effect.</w:t>
      </w:r>
    </w:p>
    <w:p>
      <w:pPr>
        <w:pStyle w:val="Heading2"/>
        <w:jc w:val="left"/>
      </w:pPr>
      <w:r>
        <w:rPr>
          <w:b w:val="on"/>
          <w:sz w:val="28"/>
        </w:rPr>
        <w:t>Document metadata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Corpus</w:t>
            </w:r>
          </w:p>
        </w:tc>
        <w:tc>
          <w:p>
            <w:r>
              <w:t>SciFact</w:t>
            </w:r>
          </w:p>
        </w:tc>
      </w:tr>
      <w:tr>
        <w:tc>
          <w:p>
            <w:r>
              <w:t>Document ID</w:t>
            </w:r>
          </w:p>
        </w:tc>
        <w:tc>
          <w:p>
            <w:r>
              <w:t>18421962</w:t>
            </w:r>
          </w:p>
        </w:tc>
      </w:tr>
    </w:tbl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r>
      <w:t>Document 18421962</w:t>
    </w:r>
  </w:p>
</w:ftr>
</file>

<file path=word/header1.xml><?xml version="1.0" encoding="utf-8"?>
<w:hdr xmlns:w="http://schemas.openxmlformats.org/wordprocessingml/2006/main">
  <w:p>
    <w:r>
      <w:t>SciFact controlled format benchmark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2026-07-29T00:00:00Z</dcterms:created>
  <dc:creator>ai-agent-scaffold-benchmark</dc:creator>
  <dc:title>Assessing the ceRNA hypothesis with quantitative measurements of miRNA and target abundance.</dc:title>
</cp:coreProperties>
</file>