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Regulation of Hippo pathway transcription factor TEAD by p38 MAPK-induced cytoplasmic translocation</w:t>
      </w:r>
    </w:p>
    <w:p>
      <w:r>
        <w:rPr>
          <w:rFonts w:ascii="Courier New" w:hAnsi="Courier New" w:cs="Courier New" w:eastAsia="Courier New"/>
          <w:sz w:val="18"/>
        </w:rPr>
        <w:t>SCIFACT-EVIDENCE-52873726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The Hippo pathway controls organ size and tissue homeostasis, with deregulation leading to cancer.</w:t>
      </w:r>
    </w:p>
    <w:p>
      <w:r>
        <w:rPr>
          <w:rFonts w:ascii="Arial" w:hAnsi="Arial" w:cs="Arial" w:eastAsia="Arial"/>
          <w:sz w:val="22"/>
        </w:rPr>
        <w:t>The core Hippo components in mammals are composed of the upstream serine/threonine kinases Mst1/2, MAPK4Ks and Lats1/2.</w:t>
      </w:r>
    </w:p>
    <w:p>
      <w:r>
        <w:rPr>
          <w:rFonts w:ascii="Arial" w:hAnsi="Arial" w:cs="Arial" w:eastAsia="Arial"/>
          <w:sz w:val="22"/>
        </w:rPr>
        <w:t>Inactivation of these upstream kinases leads to dephosphorylation, stabilization, nuclear translocation and thus activation of the major functional transducers of the Hippo pathway, YAP and its paralogue TAZ.</w:t>
      </w:r>
    </w:p>
    <w:p>
      <w:r>
        <w:rPr>
          <w:rFonts w:ascii="Arial" w:hAnsi="Arial" w:cs="Arial" w:eastAsia="Arial"/>
          <w:sz w:val="22"/>
        </w:rPr>
        <w:t>YAP/TAZ are transcription co-activators that regulate gene expression primarily through interaction with the TEA domain DNA-binding family of transcription factors (TEAD).</w:t>
      </w:r>
    </w:p>
    <w:p>
      <w:r>
        <w:rPr>
          <w:rFonts w:ascii="Arial" w:hAnsi="Arial" w:cs="Arial" w:eastAsia="Arial"/>
          <w:sz w:val="22"/>
        </w:rPr>
        <w:t>The current paradigm for regulation of this pathway centres on phosphorylation-dependent nucleocytoplasmic shuttling of YAP/TAZ through a complex network of upstream components.</w:t>
      </w:r>
    </w:p>
    <w:p>
      <w:r>
        <w:rPr>
          <w:rFonts w:ascii="Arial" w:hAnsi="Arial" w:cs="Arial" w:eastAsia="Arial"/>
          <w:sz w:val="22"/>
        </w:rPr>
        <w:t>However, unlike other transcription factors, such as SMAD, NF-κB, NFAT and STAT, the regulation of TEAD nucleocytoplasmic shuttling has been largely overlooked.</w:t>
      </w:r>
    </w:p>
    <w:p>
      <w:r>
        <w:rPr>
          <w:rFonts w:ascii="Arial" w:hAnsi="Arial" w:cs="Arial" w:eastAsia="Arial"/>
          <w:sz w:val="22"/>
        </w:rPr>
        <w:t>In the present study, we show that environmental stress promotes TEAD cytoplasmic translocation via p38 MAPK in a Hippo-independent manner.</w:t>
      </w:r>
    </w:p>
    <w:p>
      <w:r>
        <w:rPr>
          <w:rFonts w:ascii="Arial" w:hAnsi="Arial" w:cs="Arial" w:eastAsia="Arial"/>
          <w:sz w:val="22"/>
        </w:rPr>
        <w:t>Importantly, stress-induced TEAD inhibition predominates YAP-activating signals and selectively suppresses YAP-driven cancer cell growth.</w:t>
      </w:r>
    </w:p>
    <w:p>
      <w:r>
        <w:rPr>
          <w:rFonts w:ascii="Arial" w:hAnsi="Arial" w:cs="Arial" w:eastAsia="Arial"/>
          <w:sz w:val="22"/>
        </w:rPr>
        <w:t>Our data reveal a mechanism governing TEAD nucleocytoplasmic shuttling and show that TEAD localization is a critical determinant of Hippo signalling output.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52873726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52873726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Regulation of Hippo pathway transcription factor TEAD by p38 MAPK-induced cytoplasmic translocation</dc:title>
</cp:coreProperties>
</file>