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Clinical features and treatment of peristomal pyoderma gangrenosum.</w:t>
      </w:r>
    </w:p>
    <w:p>
      <w:r>
        <w:rPr>
          <w:rFonts w:ascii="Courier New" w:hAnsi="Courier New" w:cs="Courier New" w:eastAsia="Courier New"/>
          <w:sz w:val="18"/>
        </w:rPr>
        <w:t>SCIFACT-EVIDENCE-23649163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CONTEXT Peristomal pyoderma gangrenosum (PPG), an unusual variant of pyoderma gangrenosum, has been reported almost exclusively in patients with inflammatory bowel disease (IBD) and is frequently misdiagnosed.</w:t>
      </w:r>
    </w:p>
    <w:p>
      <w:r>
        <w:rPr>
          <w:rFonts w:ascii="Arial" w:hAnsi="Arial" w:cs="Arial" w:eastAsia="Arial"/>
          <w:sz w:val="22"/>
        </w:rPr>
        <w:t>OBJECTIVE To better characterize the clinical manifestations, diagnosis, and management of PPG.</w:t>
      </w:r>
    </w:p>
    <w:p>
      <w:r>
        <w:rPr>
          <w:rFonts w:ascii="Arial" w:hAnsi="Arial" w:cs="Arial" w:eastAsia="Arial"/>
          <w:sz w:val="22"/>
        </w:rPr>
        <w:t>DESIGN, SETTING, AND PATIENTS Retrospective analysis of 7 patients with PPG observed in a university-affiliated community setting between 1988 and December 1999.</w:t>
      </w:r>
    </w:p>
    <w:p>
      <w:r>
        <w:rPr>
          <w:rFonts w:ascii="Arial" w:hAnsi="Arial" w:cs="Arial" w:eastAsia="Arial"/>
          <w:sz w:val="22"/>
        </w:rPr>
        <w:t>MAIN OUTCOME MEASURES Clinical and histopathologic features, associated disorders, and microbiologic findings.</w:t>
      </w:r>
    </w:p>
    <w:p>
      <w:r>
        <w:rPr>
          <w:rFonts w:ascii="Arial" w:hAnsi="Arial" w:cs="Arial" w:eastAsia="Arial"/>
          <w:sz w:val="22"/>
        </w:rPr>
        <w:t>RESULTS Two patients had Crohn disease, 2 had ulcerative colitis, and 3 had abdominal cancer.</w:t>
      </w:r>
    </w:p>
    <w:p>
      <w:r>
        <w:rPr>
          <w:rFonts w:ascii="Arial" w:hAnsi="Arial" w:cs="Arial" w:eastAsia="Arial"/>
          <w:sz w:val="22"/>
        </w:rPr>
        <w:t>Five patients had at least 1 relapse of PPG after initial healing.</w:t>
      </w:r>
    </w:p>
    <w:p>
      <w:r>
        <w:rPr>
          <w:rFonts w:ascii="Arial" w:hAnsi="Arial" w:cs="Arial" w:eastAsia="Arial"/>
          <w:sz w:val="22"/>
        </w:rPr>
        <w:t>Although 3 of 4 patients with IBD had active bowel disease, a parallel course with PPG occurred in only 1 patient.</w:t>
      </w:r>
    </w:p>
    <w:p>
      <w:r>
        <w:rPr>
          <w:rFonts w:ascii="Arial" w:hAnsi="Arial" w:cs="Arial" w:eastAsia="Arial"/>
          <w:sz w:val="22"/>
        </w:rPr>
        <w:t>Both patients whose stoma was relocated developed an ulcer at the new site.</w:t>
      </w:r>
    </w:p>
    <w:p>
      <w:r>
        <w:rPr>
          <w:rFonts w:ascii="Arial" w:hAnsi="Arial" w:cs="Arial" w:eastAsia="Arial"/>
          <w:sz w:val="22"/>
        </w:rPr>
        <w:t>Effective therapies included topical superpotent corticosteroids; intralesional injection of triamcinolone acetonide at the ulcer margin; topical cromolyn sodium; oral dapsone, prednisone, cyclosporine, mycophenolate mofetil; and intravenous infliximab.</w:t>
      </w:r>
    </w:p>
    <w:p>
      <w:r>
        <w:rPr>
          <w:rFonts w:ascii="Arial" w:hAnsi="Arial" w:cs="Arial" w:eastAsia="Arial"/>
          <w:sz w:val="22"/>
        </w:rPr>
        <w:t>CONCLUSION Our experiences demonstrate that although PPG has been most often reported in patients with IBD, it may occur in the absence of IBD.</w:t>
      </w:r>
    </w:p>
    <w:p>
      <w:r>
        <w:rPr>
          <w:rFonts w:ascii="Arial" w:hAnsi="Arial" w:cs="Arial" w:eastAsia="Arial"/>
          <w:sz w:val="22"/>
        </w:rPr>
        <w:t>Biopsy of the skin lesion is not diagnostic but excludes other causes.</w:t>
      </w:r>
    </w:p>
    <w:p>
      <w:r>
        <w:rPr>
          <w:rFonts w:ascii="Arial" w:hAnsi="Arial" w:cs="Arial" w:eastAsia="Arial"/>
          <w:sz w:val="22"/>
        </w:rPr>
        <w:t>Relocation of the stoma may be associated with a new ulceration and should be avoided.</w:t>
      </w:r>
    </w:p>
    <w:p>
      <w:r>
        <w:rPr>
          <w:rFonts w:ascii="Arial" w:hAnsi="Arial" w:cs="Arial" w:eastAsia="Arial"/>
          <w:sz w:val="22"/>
        </w:rPr>
        <w:t>Trauma to the skin of a predisposed patient may elicit the pustules or ulcerations associated with pathergy.</w:t>
      </w:r>
    </w:p>
    <w:p>
      <w:r>
        <w:rPr>
          <w:rFonts w:ascii="Arial" w:hAnsi="Arial" w:cs="Arial" w:eastAsia="Arial"/>
          <w:sz w:val="22"/>
        </w:rPr>
        <w:t>JAMA.</w:t>
      </w:r>
    </w:p>
    <w:p>
      <w:r>
        <w:rPr>
          <w:rFonts w:ascii="Arial" w:hAnsi="Arial" w:cs="Arial" w:eastAsia="Arial"/>
          <w:sz w:val="22"/>
        </w:rPr>
        <w:t>2000;284:1546-1548.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23649163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23649163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Clinical features and treatment of peristomal pyoderma gangrenosum.</dc:title>
</cp:coreProperties>
</file>