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Chemotherapy options in elderly and frail patients with metastatic colorectal cancer (MRC FOCUS2): an open-label, randomised factorial trial</w:t>
      </w:r>
    </w:p>
    <w:p>
      <w:r>
        <w:rPr>
          <w:rFonts w:ascii="Courier New" w:hAnsi="Courier New" w:cs="Courier New" w:eastAsia="Courier New"/>
          <w:sz w:val="18"/>
        </w:rPr>
        <w:t>SCIFACT-EVIDENCE-15476777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Elderly and frail patients with cancer, although often treated with chemotherapy, are under-represented in clinical trials.</w:t>
      </w:r>
    </w:p>
    <w:p>
      <w:r>
        <w:rPr>
          <w:rFonts w:ascii="Arial" w:hAnsi="Arial" w:cs="Arial" w:eastAsia="Arial"/>
          <w:sz w:val="22"/>
        </w:rPr>
        <w:t>We designed FOCUS2 to investigate reduced-dose chemotherapy options and to seek objective predictors of outcome in frail patients with advanced colorectal cancer.</w:t>
      </w:r>
    </w:p>
    <w:p>
      <w:r>
        <w:rPr>
          <w:rFonts w:ascii="Arial" w:hAnsi="Arial" w:cs="Arial" w:eastAsia="Arial"/>
          <w:sz w:val="22"/>
        </w:rPr>
        <w:t>METHODS We undertook an open, 2 × 2 factorial trial in 61 UK centres for patients with previously untreated advanced colorectal cancer who were considered unfit for full-dose chemotherapy.</w:t>
      </w:r>
    </w:p>
    <w:p>
      <w:r>
        <w:rPr>
          <w:rFonts w:ascii="Arial" w:hAnsi="Arial" w:cs="Arial" w:eastAsia="Arial"/>
          <w:sz w:val="22"/>
        </w:rPr>
        <w:t>After comprehensive health assessment (CHA), patients were randomly assigned by minimisation to: 48-h intravenous fluorouracil with levofolinate (group A); oxaliplatin and fluorouracil (group B); capecitabine (group C); or oxaliplatin and capecitabine (group D).</w:t>
      </w:r>
    </w:p>
    <w:p>
      <w:r>
        <w:rPr>
          <w:rFonts w:ascii="Arial" w:hAnsi="Arial" w:cs="Arial" w:eastAsia="Arial"/>
          <w:sz w:val="22"/>
        </w:rPr>
        <w:t>Treatment allocation was not masked.</w:t>
      </w:r>
    </w:p>
    <w:p>
      <w:r>
        <w:rPr>
          <w:rFonts w:ascii="Arial" w:hAnsi="Arial" w:cs="Arial" w:eastAsia="Arial"/>
          <w:sz w:val="22"/>
        </w:rPr>
        <w:t>Starting doses were 80% of standard doses, with discretionary escalation to full dose after 6 weeks.</w:t>
      </w:r>
    </w:p>
    <w:p>
      <w:r>
        <w:rPr>
          <w:rFonts w:ascii="Arial" w:hAnsi="Arial" w:cs="Arial" w:eastAsia="Arial"/>
          <w:sz w:val="22"/>
        </w:rPr>
        <w:t>The two primary outcome measures were: addition of oxaliplatin ([A vs B] + [C vs D]), assessed with progression-free survival (PFS); and substitution of fluorouracil with capecitabine ([A vs C] + [B vs D]), assessed by change from baseline to 12 weeks in global quality of life (QoL).</w:t>
      </w:r>
    </w:p>
    <w:p>
      <w:r>
        <w:rPr>
          <w:rFonts w:ascii="Arial" w:hAnsi="Arial" w:cs="Arial" w:eastAsia="Arial"/>
          <w:sz w:val="22"/>
        </w:rPr>
        <w:t>Analysis was by intention to treat.</w:t>
      </w:r>
    </w:p>
    <w:p>
      <w:r>
        <w:rPr>
          <w:rFonts w:ascii="Arial" w:hAnsi="Arial" w:cs="Arial" w:eastAsia="Arial"/>
          <w:sz w:val="22"/>
        </w:rPr>
        <w:t>Baseline clinical and CHA data were modelled against outcomes with a novel composite measure, overall treatment utility (OTU).</w:t>
      </w:r>
    </w:p>
    <w:p>
      <w:r>
        <w:rPr>
          <w:rFonts w:ascii="Arial" w:hAnsi="Arial" w:cs="Arial" w:eastAsia="Arial"/>
          <w:sz w:val="22"/>
        </w:rPr>
        <w:t>This study is registered, number ISRCTN21221452.</w:t>
      </w:r>
    </w:p>
    <w:p>
      <w:r>
        <w:rPr>
          <w:rFonts w:ascii="Arial" w:hAnsi="Arial" w:cs="Arial" w:eastAsia="Arial"/>
          <w:sz w:val="22"/>
        </w:rPr>
        <w:t>FINDINGS 459 patients were randomly assigned (115 to each of groups A-C, 114 to group D).</w:t>
      </w:r>
    </w:p>
    <w:p>
      <w:r>
        <w:rPr>
          <w:rFonts w:ascii="Arial" w:hAnsi="Arial" w:cs="Arial" w:eastAsia="Arial"/>
          <w:sz w:val="22"/>
        </w:rPr>
        <w:t>Factorial comparison of addition of oxaliplatin versus no addition suggested some improvement in PFS, but the finding was not significant (median 5·8 months [IQR 3·3-7·5] vs 4·5 months [2·8-6·4]; hazard ratio 0·84, 95% CI 0·69-1·01, p=0·07).</w:t>
      </w:r>
    </w:p>
    <w:p>
      <w:r>
        <w:rPr>
          <w:rFonts w:ascii="Arial" w:hAnsi="Arial" w:cs="Arial" w:eastAsia="Arial"/>
          <w:sz w:val="22"/>
        </w:rPr>
        <w:t>Replacement of fluorouracil with capecitabine did not improve global QoL: 69 of 124 (56%) patients receiving fluorouracil reported improvement in global QoL compared with 69 of 123 (56%) receiving capecitabine.</w:t>
      </w:r>
    </w:p>
    <w:p>
      <w:r>
        <w:rPr>
          <w:rFonts w:ascii="Arial" w:hAnsi="Arial" w:cs="Arial" w:eastAsia="Arial"/>
          <w:sz w:val="22"/>
        </w:rPr>
        <w:t>The risk of having any grade 3 or worse toxic effect was not significantly increased with oxaliplatin (83/219 [38%] vs 70/221 [32%]; p=0·17), but was higher with capecitabine than with fluorouracil (88/222 [40%] vs 65/218 [30%]; p=0·03).</w:t>
      </w:r>
    </w:p>
    <w:p>
      <w:r>
        <w:rPr>
          <w:rFonts w:ascii="Arial" w:hAnsi="Arial" w:cs="Arial" w:eastAsia="Arial"/>
          <w:sz w:val="22"/>
        </w:rPr>
        <w:t>In multivariable analysis, fewer baseline symptoms (odds ratio 1·32, 95% CI 1·14-1·52), less widespread disease (1·51, 1·05-2·19), and use of oxaliplatin (0·57, 0·39-0·82) were predictive of better OTU.</w:t>
      </w:r>
    </w:p>
    <w:p>
      <w:r>
        <w:rPr>
          <w:rFonts w:ascii="Arial" w:hAnsi="Arial" w:cs="Arial" w:eastAsia="Arial"/>
          <w:sz w:val="22"/>
        </w:rPr>
        <w:t>INTERPRETATION FOCUS2 shows that with an appropriate design, including reduced starting doses of chemotherapy, frail and elderly patients can participate in a randomised controlled trial.</w:t>
      </w:r>
    </w:p>
    <w:p>
      <w:r>
        <w:rPr>
          <w:rFonts w:ascii="Arial" w:hAnsi="Arial" w:cs="Arial" w:eastAsia="Arial"/>
          <w:sz w:val="22"/>
        </w:rPr>
        <w:t>On balance, a combination including oxaliplatin was preferable to single-agent fluoropyrimidines, although the primary endpoint of PFS was not met.</w:t>
      </w:r>
    </w:p>
    <w:p>
      <w:r>
        <w:rPr>
          <w:rFonts w:ascii="Arial" w:hAnsi="Arial" w:cs="Arial" w:eastAsia="Arial"/>
          <w:sz w:val="22"/>
        </w:rPr>
        <w:t>Capecitabine did not improve QoL compared with fluorouracil.</w:t>
      </w:r>
    </w:p>
    <w:p>
      <w:r>
        <w:rPr>
          <w:rFonts w:ascii="Arial" w:hAnsi="Arial" w:cs="Arial" w:eastAsia="Arial"/>
          <w:sz w:val="22"/>
        </w:rPr>
        <w:t>Comprehensive baseline assessment holds promise as an objective predictor of treatment benefit.</w:t>
      </w:r>
    </w:p>
    <w:p>
      <w:r>
        <w:rPr>
          <w:rFonts w:ascii="Arial" w:hAnsi="Arial" w:cs="Arial" w:eastAsia="Arial"/>
          <w:sz w:val="22"/>
        </w:rPr>
        <w:t>FUNDING Cancer Research UK and the Medical Research Council.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15476777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15476777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Chemotherapy options in elderly and frail patients with metastatic colorectal cancer (MRC FOCUS2): an open-label, randomised factorial trial</dc:title>
</cp:coreProperties>
</file>