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microRNAs: A Safeguard against Turmoil?</w:t>
      </w:r>
    </w:p>
    <w:p>
      <w:r>
        <w:rPr>
          <w:rFonts w:ascii="Courier New" w:hAnsi="Courier New" w:cs="Courier New" w:eastAsia="Courier New"/>
          <w:sz w:val="18"/>
        </w:rPr>
        <w:t>SCIFACT-EVIDENCE-2251426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Emerging data suggest that microRNAs (miRNAs) are instrumental in a variety of stress responses in addition to their more recognized role in development.</w:t>
      </w:r>
    </w:p>
    <w:p>
      <w:r>
        <w:rPr>
          <w:rFonts w:ascii="Arial" w:hAnsi="Arial" w:cs="Arial" w:eastAsia="Arial"/>
          <w:sz w:val="22"/>
        </w:rPr>
        <w:t>Surprisingly, miRNAs, which normally suppress expression of target transcripts, may become activators of expression during stress.</w:t>
      </w:r>
    </w:p>
    <w:p>
      <w:r>
        <w:rPr>
          <w:rFonts w:ascii="Arial" w:hAnsi="Arial" w:cs="Arial" w:eastAsia="Arial"/>
          <w:sz w:val="22"/>
        </w:rPr>
        <w:t>This might be partially explained by new interactions of miRNA/Argonaute complexes with RNA-binding proteins that relocate from different subcellular compartments during stress.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2251426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2251426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microRNAs: A Safeguard against Turmoil?</dc:title>
</cp:coreProperties>
</file>