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Tracking adipogenesis during white adipose tissue development, expansion and regeneration</w:t>
      </w:r>
    </w:p>
    <w:p>
      <w:r>
        <w:rPr>
          <w:rFonts w:ascii="Courier New" w:hAnsi="Courier New" w:cs="Courier New" w:eastAsia="Courier New"/>
          <w:sz w:val="18"/>
        </w:rPr>
        <w:t>SCIFACT-EVIDENCE-20532591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White adipose tissue displays high plasticity.</w:t>
      </w:r>
    </w:p>
    <w:p>
      <w:r>
        <w:rPr>
          <w:rFonts w:ascii="Arial" w:hAnsi="Arial" w:cs="Arial" w:eastAsia="Arial"/>
          <w:sz w:val="22"/>
        </w:rPr>
        <w:t>We developed a system for the inducible, permanent labeling of mature adipocytes that we called the AdipoChaser mouse.</w:t>
      </w:r>
    </w:p>
    <w:p>
      <w:r>
        <w:rPr>
          <w:rFonts w:ascii="Arial" w:hAnsi="Arial" w:cs="Arial" w:eastAsia="Arial"/>
          <w:sz w:val="22"/>
        </w:rPr>
        <w:t>We monitored adipogenesis during development, high-fat diet (HFD) feeding and cold exposure.</w:t>
      </w:r>
    </w:p>
    <w:p>
      <w:r>
        <w:rPr>
          <w:rFonts w:ascii="Arial" w:hAnsi="Arial" w:cs="Arial" w:eastAsia="Arial"/>
          <w:sz w:val="22"/>
        </w:rPr>
        <w:t>During cold-induced 'browning' of subcutaneous fat, most 'beige' adipocytes stem from de novo–differentiated adipocytes.</w:t>
      </w:r>
    </w:p>
    <w:p>
      <w:r>
        <w:rPr>
          <w:rFonts w:ascii="Arial" w:hAnsi="Arial" w:cs="Arial" w:eastAsia="Arial"/>
          <w:sz w:val="22"/>
        </w:rPr>
        <w:t>During HFD feeding, epididymal fat initiates adipogenesis after 4 weeks, whereas subcutaneous fat undergoes hypertrophy for a period of up to 12 weeks.</w:t>
      </w:r>
    </w:p>
    <w:p>
      <w:r>
        <w:rPr>
          <w:rFonts w:ascii="Arial" w:hAnsi="Arial" w:cs="Arial" w:eastAsia="Arial"/>
          <w:sz w:val="22"/>
        </w:rPr>
        <w:t>Gonadal fat develops postnatally, whereas subcutaneous fat develops between embryonic days 14 and 18.</w:t>
      </w:r>
    </w:p>
    <w:p>
      <w:r>
        <w:rPr>
          <w:rFonts w:ascii="Arial" w:hAnsi="Arial" w:cs="Arial" w:eastAsia="Arial"/>
          <w:sz w:val="22"/>
        </w:rPr>
        <w:t>Our results highlight the extensive differences in adipogenic potential in various fat depots.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20532591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20532591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Tracking adipogenesis during white adipose tissue development, expansion and regeneration</dc:title>
</cp:coreProperties>
</file>