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Mechanisms of Life Span Extension by Rapamycin in the Fruit Fly Drosophila melanogaster</w:t>
      </w:r>
    </w:p>
    <w:p>
      <w:r>
        <w:rPr>
          <w:rFonts w:ascii="Courier New" w:hAnsi="Courier New" w:cs="Courier New" w:eastAsia="Courier New"/>
          <w:sz w:val="18"/>
        </w:rPr>
        <w:t>SCIFACT-EVIDENCE-6277638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The target of rapamycin (TOR) pathway is a major nutrient-sensing pathway that, when genetically downregulated, increases life span in evolutionarily diverse organisms including mammals.</w:t>
      </w:r>
    </w:p>
    <w:p>
      <w:r>
        <w:rPr>
          <w:rFonts w:ascii="Arial" w:hAnsi="Arial" w:cs="Arial" w:eastAsia="Arial"/>
          <w:sz w:val="22"/>
        </w:rPr>
        <w:t>The central component of this pathway, TOR kinase, is the target of the inhibitory drug rapamycin, a highly specific and well-described drug approved for human use.</w:t>
      </w:r>
    </w:p>
    <w:p>
      <w:r>
        <w:rPr>
          <w:rFonts w:ascii="Arial" w:hAnsi="Arial" w:cs="Arial" w:eastAsia="Arial"/>
          <w:sz w:val="22"/>
        </w:rPr>
        <w:t>We show here that feeding rapamycin to adult Drosophila produces the life span extension seen in some TOR mutants.</w:t>
      </w:r>
    </w:p>
    <w:p>
      <w:r>
        <w:rPr>
          <w:rFonts w:ascii="Arial" w:hAnsi="Arial" w:cs="Arial" w:eastAsia="Arial"/>
          <w:sz w:val="22"/>
        </w:rPr>
        <w:t>Increase in life span by rapamycin was associated with increased resistance to both starvation and paraquat.</w:t>
      </w:r>
    </w:p>
    <w:p>
      <w:r>
        <w:rPr>
          <w:rFonts w:ascii="Arial" w:hAnsi="Arial" w:cs="Arial" w:eastAsia="Arial"/>
          <w:sz w:val="22"/>
        </w:rPr>
        <w:t>Analysis of the underlying mechanisms revealed that rapamycin increased longevity specifically through the TORC1 branch of the TOR pathway, through alterations to both autophagy and translation.</w:t>
      </w:r>
    </w:p>
    <w:p>
      <w:r>
        <w:rPr>
          <w:rFonts w:ascii="Arial" w:hAnsi="Arial" w:cs="Arial" w:eastAsia="Arial"/>
          <w:sz w:val="22"/>
        </w:rPr>
        <w:t>Rapamycin could increase life span of weak insulin/Igf signaling (IIS) pathway mutants and of flies with life span maximized by dietary restriction, indicating additional mechanisms.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6277638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6277638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Mechanisms of Life Span Extension by Rapamycin in the Fruit Fly Drosophila melanogaster</dc:title>
</cp:coreProperties>
</file>