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3D Chromosome Regulatory Landscape of Human Pluripotent Cells.</w:t>
      </w:r>
    </w:p>
    <w:p>
      <w:r>
        <w:rPr>
          <w:rFonts w:ascii="Courier New" w:hAnsi="Courier New" w:cs="Courier New" w:eastAsia="Courier New"/>
          <w:sz w:val="18"/>
        </w:rPr>
        <w:t>SCIFACT-EVIDENCE-5373138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In this study, we describe the 3D chromosome regulatory landscape of human naive and primed embryonic stem cells.</w:t>
      </w:r>
    </w:p>
    <w:p>
      <w:r>
        <w:rPr>
          <w:rFonts w:ascii="Arial" w:hAnsi="Arial" w:cs="Arial" w:eastAsia="Arial"/>
          <w:sz w:val="22"/>
        </w:rPr>
        <w:t>To devise this map, we identified transcriptional enhancers and insulators in these cells and placed them within the context of cohesin-associated CTCF-CTCF loops using cohesin ChIA-PET data.</w:t>
      </w:r>
    </w:p>
    <w:p>
      <w:r>
        <w:rPr>
          <w:rFonts w:ascii="Arial" w:hAnsi="Arial" w:cs="Arial" w:eastAsia="Arial"/>
          <w:sz w:val="22"/>
        </w:rPr>
        <w:t>The CTCF-CTCF loops we identified form a chromosomal framework of insulated neighborhoods, which in turn form topologically associating domains (TADs) that are largely preserved during the transition between the naive and primed states.</w:t>
      </w:r>
    </w:p>
    <w:p>
      <w:r>
        <w:rPr>
          <w:rFonts w:ascii="Arial" w:hAnsi="Arial" w:cs="Arial" w:eastAsia="Arial"/>
          <w:sz w:val="22"/>
        </w:rPr>
        <w:t>Regulatory changes in enhancer-promoter interactions occur within insulated neighborhoods during cell state transition.</w:t>
      </w:r>
    </w:p>
    <w:p>
      <w:r>
        <w:rPr>
          <w:rFonts w:ascii="Arial" w:hAnsi="Arial" w:cs="Arial" w:eastAsia="Arial"/>
          <w:sz w:val="22"/>
        </w:rPr>
        <w:t>The CTCF anchor regions we identified are conserved across species, influence gene expression, and are a frequent site of mutations in cancer cells, underscoring their functional importance in cellular regulation.</w:t>
      </w:r>
    </w:p>
    <w:p>
      <w:r>
        <w:rPr>
          <w:rFonts w:ascii="Arial" w:hAnsi="Arial" w:cs="Arial" w:eastAsia="Arial"/>
          <w:sz w:val="22"/>
        </w:rPr>
        <w:t>These 3D regulatory maps of human pluripotent cells therefore provide a foundation for future interrogation of the relationships between chromosome structure and gene control in development and disease.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5373138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5373138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3D Chromosome Regulatory Landscape of Human Pluripotent Cells.</dc:title>
</cp:coreProperties>
</file>