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Full activation of the T cell receptor requires both clustering and conformational changes at CD3.</w:t>
      </w:r>
    </w:p>
    <w:p>
      <w:r>
        <w:rPr>
          <w:rFonts w:ascii="Courier New" w:hAnsi="Courier New" w:cs="Courier New" w:eastAsia="Courier New"/>
          <w:sz w:val="18"/>
        </w:rPr>
        <w:t>SCIFACT-EVIDENCE-33499189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T cell receptor (TCR-CD3) triggering involves both receptor clustering and conformational changes at the cytoplasmic tails of the CD3 subunits.</w:t>
      </w:r>
    </w:p>
    <w:p>
      <w:r>
        <w:rPr>
          <w:rFonts w:ascii="Arial" w:hAnsi="Arial" w:cs="Arial" w:eastAsia="Arial"/>
          <w:sz w:val="22"/>
        </w:rPr>
        <w:t>The mechanism by which TCRalphabeta ligand binding confers conformational changes to CD3 is unknown.</w:t>
      </w:r>
    </w:p>
    <w:p>
      <w:r>
        <w:rPr>
          <w:rFonts w:ascii="Arial" w:hAnsi="Arial" w:cs="Arial" w:eastAsia="Arial"/>
          <w:sz w:val="22"/>
        </w:rPr>
        <w:t>By using well-defined ligands, we showed that induction of the conformational change requires both multivalent engagement and the mobility restriction of the TCR-CD3 imposed by the plasma membrane.</w:t>
      </w:r>
    </w:p>
    <w:p>
      <w:r>
        <w:rPr>
          <w:rFonts w:ascii="Arial" w:hAnsi="Arial" w:cs="Arial" w:eastAsia="Arial"/>
          <w:sz w:val="22"/>
        </w:rPr>
        <w:t>The conformational change is elicited by cooperative rearrangements of two TCR-CD3 complexes and does not require accompanying changes in the structure of the TCRalphabeta ectodomains.</w:t>
      </w:r>
    </w:p>
    <w:p>
      <w:r>
        <w:rPr>
          <w:rFonts w:ascii="Arial" w:hAnsi="Arial" w:cs="Arial" w:eastAsia="Arial"/>
          <w:sz w:val="22"/>
        </w:rPr>
        <w:t>This conformational change at CD3 reverts upon ligand dissociation and is required for T cell activation.</w:t>
      </w:r>
    </w:p>
    <w:p>
      <w:r>
        <w:rPr>
          <w:rFonts w:ascii="Arial" w:hAnsi="Arial" w:cs="Arial" w:eastAsia="Arial"/>
          <w:sz w:val="22"/>
        </w:rPr>
        <w:t>Thus, our permissive geometry model provides a molecular mechanism that rationalizes how the information of ligand binding to TCRalphabeta is transmitted to the CD3 subunits and to the intracellular signaling machinery.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33499189</w:t>
            </w:r>
          </w:p>
        </w:tc>
      </w:tr>
    </w:tbl>
    <w:p>
      <w:pPr>
        <w:pStyle w:val="Heading2"/>
        <w:jc w:val="left"/>
      </w:pPr>
      <w:r>
        <w:rPr>
          <w:b w:val="on"/>
          <w:sz w:val="28"/>
        </w:rPr>
        <w:t>Evidence checklist</w:t>
      </w:r>
    </w:p>
    <w:p>
      <w:pPr>
        <w:pStyle w:val="ListBullet"/>
      </w:pPr>
      <w:r>
        <w:t>Evidence segment 1: T cell receptor (TCR-CD3) triggering involves both receptor clustering and conformational changes at the cytoplasmic tails of the CD3 subunits.</w:t>
      </w:r>
    </w:p>
    <w:p>
      <w:pPr>
        <w:pStyle w:val="ListBullet"/>
      </w:pPr>
      <w:r>
        <w:t>Evidence segment 2: The mechanism by which TCRalphabeta ligand binding confers conformational changes to CD3 is unknown.</w:t>
      </w:r>
    </w:p>
    <w:p>
      <w:pPr>
        <w:pStyle w:val="ListBullet"/>
      </w:pPr>
      <w:r>
        <w:t>Evidence segment 3: By using well-defined ligands, we showed that induction of the conformational change requires both multivalent engagement and the mobility restriction of the TCR-CD3 imposed by the plasma membrane.</w:t>
      </w:r>
    </w:p>
    <w:p>
      <w:pPr>
        <w:pStyle w:val="ListBullet"/>
      </w:pPr>
      <w:r>
        <w:t>Evidence segment 4: The conformational change is elicited by cooperative rearrangements of two TCR-CD3 complexes and does not require accompanying changes in the structure of the TCRalphabeta ectodomains.</w:t>
      </w:r>
    </w:p>
    <w:p>
      <w:pPr>
        <w:pStyle w:val="ListBullet"/>
      </w:pPr>
      <w:r>
        <w:t>Evidence segment 5: This conformational change at CD3 reverts upon ligand dissociation and is required for T cell activation.</w:t>
      </w:r>
    </w:p>
    <w:p>
      <w:pPr>
        <w:pStyle w:val="ListBullet"/>
      </w:pPr>
      <w:r>
        <w:t>Evidence segment 6: Thus, our permissive geometry model provides a molecular mechanism that rationalizes how the information of ligand binding to TCRalphabeta is transmitted to the CD3 subunits and to the intracellular signaling machinery.</w:t>
      </w:r>
    </w:p>
    <w:p>
      <w:r>
        <w:br w:type="page"/>
      </w:r>
    </w:p>
    <w:p>
      <w:pPr>
        <w:pStyle w:val="Heading2"/>
        <w:jc w:val="left"/>
      </w:pPr>
      <w:r>
        <w:rPr>
          <w:b w:val="on"/>
          <w:sz w:val="28"/>
        </w:rPr>
        <w:t>Source continuity</w:t>
      </w:r>
    </w:p>
    <w:p>
      <w:r>
        <w:rPr>
          <w:rFonts w:ascii="Arial" w:hAnsi="Arial" w:cs="Arial" w:eastAsia="Arial"/>
          <w:sz w:val="22"/>
        </w:rPr>
        <w:t>The canonical evidence above remains the authoritative retrieval target.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33499189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Full activation of the T cell receptor requires both clustering and conformational changes at CD3.</dc:title>
</cp:coreProperties>
</file>