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Open Access Increases Citation Rate</w:t>
      </w:r>
    </w:p>
    <w:p>
      <w:r>
        <w:rPr>
          <w:rFonts w:ascii="Courier New" w:hAnsi="Courier New" w:cs="Courier New" w:eastAsia="Courier New"/>
          <w:sz w:val="18"/>
        </w:rPr>
        <w:t>SCIFACT-EVIDENCE-27768226</w:t>
      </w:r>
    </w:p>
    <w:p>
      <w:pPr>
        <w:pStyle w:val="Heading2"/>
        <w:jc w:val="left"/>
      </w:pPr>
      <w:r>
        <w:rPr>
          <w:b w:val="on"/>
          <w:sz w:val="28"/>
        </w:rPr>
        <w:t>Evidence abstract</w:t>
      </w:r>
    </w:p>
    <w:p>
      <w:r>
        <w:rPr>
          <w:rFonts w:ascii="Arial" w:hAnsi="Arial" w:cs="Arial" w:eastAsia="Arial"/>
          <w:sz w:val="22"/>
        </w:rPr>
        <w:t>PLoS Biology publishes today a research article by Gunther Eysenbach that is not about biology.</w:t>
      </w:r>
    </w:p>
    <w:p>
      <w:r>
        <w:rPr>
          <w:rFonts w:ascii="Arial" w:hAnsi="Arial" w:cs="Arial" w:eastAsia="Arial"/>
          <w:sz w:val="22"/>
        </w:rPr>
        <w:t>It is about citations.</w:t>
      </w:r>
    </w:p>
    <w:p>
      <w:r>
        <w:rPr>
          <w:rFonts w:ascii="Arial" w:hAnsi="Arial" w:cs="Arial" w:eastAsia="Arial"/>
          <w:sz w:val="22"/>
        </w:rPr>
        <w:t>It provides robust evidence that open-access articles (OA articles) are more immediately recognized and cited than non-OA articles.</w:t>
      </w:r>
    </w:p>
    <w:p>
      <w:r>
        <w:rPr>
          <w:rFonts w:ascii="Arial" w:hAnsi="Arial" w:cs="Arial" w:eastAsia="Arial"/>
          <w:sz w:val="22"/>
        </w:rPr>
        <w:t>As such, it adds objective support to the belief we have always held that open-access publication speeds up scientific dialog between researchers and, consequently, should be extended to the whole scientific literature as quickly as possible.</w:t>
      </w:r>
    </w:p>
    <w:p>
      <w:r>
        <w:rPr>
          <w:rFonts w:ascii="Arial" w:hAnsi="Arial" w:cs="Arial" w:eastAsia="Arial"/>
          <w:sz w:val="22"/>
        </w:rPr>
        <w:t>It is therefore fitting that we publish such a paper.</w:t>
      </w:r>
    </w:p>
    <w:p>
      <w:r>
        <w:rPr>
          <w:rFonts w:ascii="Arial" w:hAnsi="Arial" w:cs="Arial" w:eastAsia="Arial"/>
          <w:sz w:val="22"/>
        </w:rPr>
        <w:t>We have long argued that papers freely available in a journal will be more often read and cited than those behind a subscription barrier.</w:t>
      </w:r>
    </w:p>
    <w:p>
      <w:r>
        <w:rPr>
          <w:rFonts w:ascii="Arial" w:hAnsi="Arial" w:cs="Arial" w:eastAsia="Arial"/>
          <w:sz w:val="22"/>
        </w:rPr>
        <w:t>However, solid evidence to support or refute such a claim has been surprisingly hard to find.</w:t>
      </w:r>
    </w:p>
    <w:p>
      <w:r>
        <w:rPr>
          <w:rFonts w:ascii="Arial" w:hAnsi="Arial" w:cs="Arial" w:eastAsia="Arial"/>
          <w:sz w:val="22"/>
        </w:rPr>
        <w:t>Since most open-access journals are new, comparisons of the effects of open access with established subscription-based journals are easily confounded by age and reputation.</w:t>
      </w:r>
    </w:p>
    <w:p>
      <w:r>
        <w:rPr>
          <w:rFonts w:ascii="Arial" w:hAnsi="Arial" w:cs="Arial" w:eastAsia="Arial"/>
          <w:sz w:val="22"/>
        </w:rPr>
        <w:t>In the current study, Eysenbach compared citations compiled by Thomson Scientific (formerly Thomson ISI) to individual articles published between June 2004 and December 2004 in the same journal—namely, Proceedings of the National Academy of Sciences (PNAS), which announced its open-access option for authors on June 8 of that year, with an associated publication charge of US$1,000.</w:t>
      </w:r>
    </w:p>
    <w:p>
      <w:r>
        <w:rPr>
          <w:rFonts w:ascii="Arial" w:hAnsi="Arial" w:cs="Arial" w:eastAsia="Arial"/>
          <w:sz w:val="22"/>
        </w:rPr>
        <w:t>Non-OA articles in PNAS are subject to a six-month “toll-access” delay before the article becomes publicly available.</w:t>
      </w:r>
    </w:p>
    <w:p>
      <w:r>
        <w:rPr>
          <w:rFonts w:ascii="Arial" w:hAnsi="Arial" w:cs="Arial" w:eastAsia="Arial"/>
          <w:sz w:val="22"/>
        </w:rPr>
        <w:t>The results of this natural experiment are clear: in the 4 to 16 months following publication, OA articles gained a significant citation advantage over non-OA articles during the same period.</w:t>
      </w:r>
    </w:p>
    <w:p>
      <w:r>
        <w:rPr>
          <w:rFonts w:ascii="Arial" w:hAnsi="Arial" w:cs="Arial" w:eastAsia="Arial"/>
          <w:sz w:val="22"/>
        </w:rPr>
        <w:t>They are twice as likely to be cited 4 to 10 months after publication and almost three times as likely between 10 and 16 months.</w:t>
      </w:r>
    </w:p>
    <w:p>
      <w:r>
        <w:rPr>
          <w:rFonts w:ascii="Arial" w:hAnsi="Arial" w:cs="Arial" w:eastAsia="Arial"/>
          <w:sz w:val="22"/>
        </w:rPr>
        <w:t>Given that PNAS delays open access for only six months, the disparity between OA and non-OA articles in journals where the delay is longer or where articles remain “toll-access” is likely to be even greater.</w:t>
      </w:r>
    </w:p>
    <w:p>
      <w:r>
        <w:rPr>
          <w:rFonts w:ascii="Arial" w:hAnsi="Arial" w:cs="Arial" w:eastAsia="Arial"/>
          <w:sz w:val="22"/>
        </w:rPr>
        <w:t>Eysenbach also looked at the impact of self-archiving non-OA articles.</w:t>
      </w:r>
    </w:p>
    <w:p>
      <w:r>
        <w:rPr>
          <w:rFonts w:ascii="Arial" w:hAnsi="Arial" w:cs="Arial" w:eastAsia="Arial"/>
          <w:sz w:val="22"/>
        </w:rPr>
        <w:t>One route to open access, it is argued, is for authors to archive their published articles on their own Web sites or in institutional repositories, although this does not include an explicit business model to cover the cost of peer-review and publishing.</w:t>
      </w:r>
    </w:p>
    <w:p>
      <w:r>
        <w:rPr>
          <w:rFonts w:ascii="Arial" w:hAnsi="Arial" w:cs="Arial" w:eastAsia="Arial"/>
          <w:sz w:val="22"/>
        </w:rPr>
        <w:t>The analysis revealed that self-archived articles are also cited less often than OA articles from the same journal.</w:t>
      </w:r>
    </w:p>
    <w:p>
      <w:r>
        <w:rPr>
          <w:rFonts w:ascii="Arial" w:hAnsi="Arial" w:cs="Arial" w:eastAsia="Arial"/>
          <w:sz w:val="22"/>
        </w:rPr>
        <w:t>Yes, you're right; we do have a strong and vested interest in publishing results that so obviously endorse our existence.</w:t>
      </w:r>
    </w:p>
    <w:p>
      <w:r>
        <w:rPr>
          <w:rFonts w:ascii="Arial" w:hAnsi="Arial" w:cs="Arial" w:eastAsia="Arial"/>
          <w:sz w:val="22"/>
        </w:rPr>
        <w:t>Moreover, the author of the article is also an editor of an open-access journal.</w:t>
      </w:r>
    </w:p>
    <w:p>
      <w:r>
        <w:rPr>
          <w:rFonts w:ascii="Arial" w:hAnsi="Arial" w:cs="Arial" w:eastAsia="Arial"/>
          <w:sz w:val="22"/>
        </w:rPr>
        <w:t>But sometimes a potential conflict of interest can actually help to ensure rigor.</w:t>
      </w:r>
    </w:p>
    <w:p>
      <w:r>
        <w:rPr>
          <w:rFonts w:ascii="Arial" w:hAnsi="Arial" w:cs="Arial" w:eastAsia="Arial"/>
          <w:sz w:val="22"/>
        </w:rPr>
        <w:t>In this case, we have an acute interest in ensuring that the article meets the same, if not higher, standards as any other research article we publish.</w:t>
      </w:r>
    </w:p>
    <w:p>
      <w:r>
        <w:rPr>
          <w:rFonts w:ascii="Arial" w:hAnsi="Arial" w:cs="Arial" w:eastAsia="Arial"/>
          <w:sz w:val="22"/>
        </w:rPr>
        <w:t>Not only must the conclusions provide a significant advance for the field, but the study must be technically sound, with appropriate evidence to support those conclusions.</w:t>
      </w:r>
    </w:p>
    <w:p>
      <w:r>
        <w:rPr>
          <w:rFonts w:ascii="Arial" w:hAnsi="Arial" w:cs="Arial" w:eastAsia="Arial"/>
          <w:sz w:val="22"/>
        </w:rPr>
        <w:t>As with all our research articles, we consulted throughout the evaluation process with an academic editor with appropriate expertise—in this case, Carol Tenopir, professor of information sciences at the University of Tennessee (Knoxville, Tennessee, United States).</w:t>
      </w:r>
    </w:p>
    <w:p>
      <w:r>
        <w:rPr>
          <w:rFonts w:ascii="Arial" w:hAnsi="Arial" w:cs="Arial" w:eastAsia="Arial"/>
          <w:sz w:val="22"/>
        </w:rPr>
        <w:t>The article was reviewed by two experts in bibliometric analyses and information science, and an experienced research biologist with expertise in statistics.</w:t>
      </w:r>
    </w:p>
    <w:p>
      <w:r>
        <w:rPr>
          <w:rFonts w:ascii="Arial" w:hAnsi="Arial" w:cs="Arial" w:eastAsia="Arial"/>
          <w:sz w:val="22"/>
        </w:rPr>
        <w:t>They all enthusiastically supported publication, although one understandably questioned the suitability of PLoS Biology as the publication venue.</w:t>
      </w:r>
    </w:p>
    <w:p>
      <w:r>
        <w:rPr>
          <w:rFonts w:ascii="Arial" w:hAnsi="Arial" w:cs="Arial" w:eastAsia="Arial"/>
          <w:sz w:val="22"/>
        </w:rPr>
        <w:t>We have no intention of making PLoS Biology a regular home for bibliometric studies (even when about open access).</w:t>
      </w:r>
    </w:p>
    <w:p>
      <w:r>
        <w:rPr>
          <w:rFonts w:ascii="Arial" w:hAnsi="Arial" w:cs="Arial" w:eastAsia="Arial"/>
          <w:sz w:val="22"/>
        </w:rPr>
        <w:t>What makes this study worth publishing in PLoS Biology is not only the relative strength of evidence supporting the claim but also the extent to which many (especially other publishers) have anticipated such an analysis.</w:t>
      </w:r>
    </w:p>
    <w:p>
      <w:r>
        <w:rPr>
          <w:rFonts w:ascii="Arial" w:hAnsi="Arial" w:cs="Arial" w:eastAsia="Arial"/>
          <w:sz w:val="22"/>
        </w:rPr>
        <w:t>As far as we are aware, no other study has compared OA and non-OA articles from the same journal and controlled for so many potentially confounding factors.</w:t>
      </w:r>
    </w:p>
    <w:p>
      <w:r>
        <w:rPr>
          <w:rFonts w:ascii="Arial" w:hAnsi="Arial" w:cs="Arial" w:eastAsia="Arial"/>
          <w:sz w:val="22"/>
        </w:rPr>
        <w:t>Eysenbach's multivariate analysis took into account the number of days since publication, number of authors, article type, country of the corresponding author, funding type, subject area, submission track ( PNAS has three different ways that authors can submit a paper), and the previous citation record of the first and last authors.</w:t>
      </w:r>
    </w:p>
    <w:p>
      <w:r>
        <w:rPr>
          <w:rFonts w:ascii="Arial" w:hAnsi="Arial" w:cs="Arial" w:eastAsia="Arial"/>
          <w:sz w:val="22"/>
        </w:rPr>
        <w:t>He even administered a supplementary questionnaire to assess whether authors choosing the OA option in PNAS chose to do so for only their most important research (they didn't).</w:t>
      </w:r>
    </w:p>
    <w:p>
      <w:r>
        <w:rPr>
          <w:rFonts w:ascii="Arial" w:hAnsi="Arial" w:cs="Arial" w:eastAsia="Arial"/>
          <w:sz w:val="22"/>
        </w:rPr>
        <w:t>As Ian Rowlands from the Centre for Publishing at University College London—and one of the reviewers who agreed to be identified in this article—said at the start of his review:          “Many (most) of the papers and presentations I have read/seen on this topic have completely failed to address the kinds of confounding issues that are so convincingly tackled here.</w:t>
      </w:r>
    </w:p>
    <w:p>
      <w:r>
        <w:rPr>
          <w:rFonts w:ascii="Arial" w:hAnsi="Arial" w:cs="Arial" w:eastAsia="Arial"/>
          <w:sz w:val="22"/>
        </w:rPr>
        <w:t>For that reason alone, this paper deserves to be published and alerted to the widest possible audience.</w:t>
      </w:r>
    </w:p>
    <w:p>
      <w:r>
        <w:rPr>
          <w:rFonts w:ascii="Arial" w:hAnsi="Arial" w:cs="Arial" w:eastAsia="Arial"/>
          <w:sz w:val="22"/>
        </w:rPr>
        <w:t>”          In addition to providing evidence for the immediate advantage of open access, Eysenbach's analysis also highlights several potential challenges to its long-term future.</w:t>
      </w:r>
    </w:p>
    <w:p>
      <w:r>
        <w:rPr>
          <w:rFonts w:ascii="Arial" w:hAnsi="Arial" w:cs="Arial" w:eastAsia="Arial"/>
          <w:sz w:val="22"/>
        </w:rPr>
        <w:t>Although a limited dataset, the citation history of the first and last authors differed between those who chose the open-access option and those who did not.</w:t>
      </w:r>
    </w:p>
    <w:p>
      <w:r>
        <w:rPr>
          <w:rFonts w:ascii="Arial" w:hAnsi="Arial" w:cs="Arial" w:eastAsia="Arial"/>
          <w:sz w:val="22"/>
        </w:rPr>
        <w:t>In the group that chose open access, last authors tended to have a “stronger” previous citation record, whereas this situation was reversed among the group that declined the open-access option—here, it was the first authors who tended to be stronger.</w:t>
      </w:r>
    </w:p>
    <w:p>
      <w:r>
        <w:rPr>
          <w:rFonts w:ascii="Arial" w:hAnsi="Arial" w:cs="Arial" w:eastAsia="Arial"/>
          <w:sz w:val="22"/>
        </w:rPr>
        <w:t>This may reflect varying attitudes of authors at different stages of their career, a stronger influence from the leader of a particular group, or an age- or career-related difference in the ability to pay the publication charge (e.g., [ 1]).</w:t>
      </w:r>
    </w:p>
    <w:p>
      <w:r>
        <w:rPr>
          <w:rFonts w:ascii="Arial" w:hAnsi="Arial" w:cs="Arial" w:eastAsia="Arial"/>
          <w:sz w:val="22"/>
        </w:rPr>
        <w:t>Indeed, access to appropriate funds may also be a reason why a lower proportion of authors from European countries tended to choose the open-access option.</w:t>
      </w:r>
    </w:p>
    <w:p>
      <w:r>
        <w:rPr>
          <w:rFonts w:ascii="Arial" w:hAnsi="Arial" w:cs="Arial" w:eastAsia="Arial"/>
          <w:sz w:val="22"/>
        </w:rPr>
        <w:t>In many of these countries, funds for page charges—and, by extension, open-access publication fees—are often not included within research grants.</w:t>
      </w:r>
    </w:p>
    <w:p>
      <w:r>
        <w:rPr>
          <w:rFonts w:ascii="Arial" w:hAnsi="Arial" w:cs="Arial" w:eastAsia="Arial"/>
          <w:sz w:val="22"/>
        </w:rPr>
        <w:t>PNAS was one of the first journals to offer an open-access option to its authors.</w:t>
      </w:r>
    </w:p>
    <w:p>
      <w:r>
        <w:rPr>
          <w:rFonts w:ascii="Arial" w:hAnsi="Arial" w:cs="Arial" w:eastAsia="Arial"/>
          <w:sz w:val="22"/>
        </w:rPr>
        <w:t>However, such hybrid journals are increasing: Blackwell, Springer, and Oxford University Press now provide this option as well.</w:t>
      </w:r>
    </w:p>
    <w:p>
      <w:r>
        <w:rPr>
          <w:rFonts w:ascii="Arial" w:hAnsi="Arial" w:cs="Arial" w:eastAsia="Arial"/>
          <w:sz w:val="22"/>
        </w:rPr>
        <w:t>This means that similar experiments can be replicated.</w:t>
      </w:r>
    </w:p>
    <w:p>
      <w:r>
        <w:rPr>
          <w:rFonts w:ascii="Arial" w:hAnsi="Arial" w:cs="Arial" w:eastAsia="Arial"/>
          <w:sz w:val="22"/>
        </w:rPr>
        <w:t>Moreover, although the evidence from the current analysis argues most strongly for a time advantage in citation for OA articles, a study over longer periods will reveal whether this translates into a sustained increase in the number of citations.</w:t>
      </w:r>
    </w:p>
    <w:p>
      <w:r>
        <w:rPr>
          <w:rFonts w:ascii="Arial" w:hAnsi="Arial" w:cs="Arial" w:eastAsia="Arial"/>
          <w:sz w:val="22"/>
        </w:rPr>
        <w:t>In the meantime, open-access advocates should be emboldened by tangible evidence for what has seemed obvious all along.</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27768226</w:t>
            </w:r>
          </w:p>
        </w:tc>
      </w:tr>
    </w:tbl>
    <w:p>
      <w:pPr>
        <w:pStyle w:val="Heading2"/>
        <w:jc w:val="left"/>
      </w:pPr>
      <w:r>
        <w:rPr>
          <w:b w:val="on"/>
          <w:sz w:val="28"/>
        </w:rPr>
        <w:t>Evidence checklist</w:t>
      </w:r>
    </w:p>
    <w:p>
      <w:pPr>
        <w:pStyle w:val="ListBullet"/>
      </w:pPr>
      <w:r>
        <w:t>Evidence segment 1: PLoS Biology publishes today a research article by Gunther Eysenbach that is not about biology.</w:t>
      </w:r>
    </w:p>
    <w:p>
      <w:pPr>
        <w:pStyle w:val="ListBullet"/>
      </w:pPr>
      <w:r>
        <w:t>Evidence segment 2: It is about citations.</w:t>
      </w:r>
    </w:p>
    <w:p>
      <w:pPr>
        <w:pStyle w:val="ListBullet"/>
      </w:pPr>
      <w:r>
        <w:t>Evidence segment 3: It provides robust evidence that open-access articles (OA articles) are more immediately recognized and cited than non-OA articles.</w:t>
      </w:r>
    </w:p>
    <w:p>
      <w:pPr>
        <w:pStyle w:val="ListBullet"/>
      </w:pPr>
      <w:r>
        <w:t>Evidence segment 4: As such, it adds objective support to the belief we have always held that open-access publication speeds up scientific dialog between researchers and, consequently, should be extended to the whole scientific literature as quickly as possible.</w:t>
      </w:r>
    </w:p>
    <w:p>
      <w:pPr>
        <w:pStyle w:val="ListBullet"/>
      </w:pPr>
      <w:r>
        <w:t>Evidence segment 5: It is therefore fitting that we publish such a paper.</w:t>
      </w:r>
    </w:p>
    <w:p>
      <w:pPr>
        <w:pStyle w:val="ListBullet"/>
      </w:pPr>
      <w:r>
        <w:t>Evidence segment 6: We have long argued that papers freely available in a journal will be more often read and cited than those behind a subscription barrier.</w:t>
      </w:r>
    </w:p>
    <w:p>
      <w:pPr>
        <w:pStyle w:val="ListBullet"/>
      </w:pPr>
      <w:r>
        <w:t>Evidence segment 7: However, solid evidence to support or refute such a claim has been surprisingly hard to find.</w:t>
      </w:r>
    </w:p>
    <w:p>
      <w:pPr>
        <w:pStyle w:val="ListBullet"/>
      </w:pPr>
      <w:r>
        <w:t>Evidence segment 8: Since most open-access journals are new, comparisons of the effects of open access with established subscription-based journals are easily confounded by age and reputation.</w:t>
      </w:r>
    </w:p>
    <w:p>
      <w:pPr>
        <w:pStyle w:val="ListBullet"/>
      </w:pPr>
      <w:r>
        <w:t>Evidence segment 9: In the current study, Eysenbach compared citations compiled by Thomson Scientific (formerly Thomson ISI) to individual articles published between June 2004 and December 2004 in the same journal—namely, Proceedings of the National Academy of Sciences (PNAS), which announced its open-access option for authors on June 8 of that year, with an associated publication charge of US$1,000.</w:t>
      </w:r>
    </w:p>
    <w:p>
      <w:pPr>
        <w:pStyle w:val="ListBullet"/>
      </w:pPr>
      <w:r>
        <w:t>Evidence segment 10: Non-OA articles in PNAS are subject to a six-month “toll-access” delay before the article becomes publicly available.</w:t>
      </w:r>
    </w:p>
    <w:p>
      <w:pPr>
        <w:pStyle w:val="ListBullet"/>
      </w:pPr>
      <w:r>
        <w:t>Evidence segment 11: The results of this natural experiment are clear: in the 4 to 16 months following publication, OA articles gained a significant citation advantage over non-OA articles during the same period.</w:t>
      </w:r>
    </w:p>
    <w:p>
      <w:pPr>
        <w:pStyle w:val="ListBullet"/>
      </w:pPr>
      <w:r>
        <w:t>Evidence segment 12: They are twice as likely to be cited 4 to 10 months after publication and almost three times as likely between 10 and 16 months.</w:t>
      </w:r>
    </w:p>
    <w:p>
      <w:pPr>
        <w:pStyle w:val="ListBullet"/>
      </w:pPr>
      <w:r>
        <w:t>Evidence segment 13: Given that PNAS delays open access for only six months, the disparity between OA and non-OA articles in journals where the delay is longer or where articles remain “toll-access” is likely to be even greater.</w:t>
      </w:r>
    </w:p>
    <w:p>
      <w:pPr>
        <w:pStyle w:val="ListBullet"/>
      </w:pPr>
      <w:r>
        <w:t>Evidence segment 14: Eysenbach also looked at the impact of self-archiving non-OA articles.</w:t>
      </w:r>
    </w:p>
    <w:p>
      <w:pPr>
        <w:pStyle w:val="ListBullet"/>
      </w:pPr>
      <w:r>
        <w:t>Evidence segment 15: One route to open access, it is argued, is for authors to archive their published articles on their own Web sites or in institutional repositories, although this does not include an explicit business model to cover the cost of peer-review and publishing.</w:t>
      </w:r>
    </w:p>
    <w:p>
      <w:pPr>
        <w:pStyle w:val="ListBullet"/>
      </w:pPr>
      <w:r>
        <w:t>Evidence segment 16: The analysis revealed that self-archived articles are also cited less often than OA articles from the same journal.</w:t>
      </w:r>
    </w:p>
    <w:p>
      <w:pPr>
        <w:pStyle w:val="ListBullet"/>
      </w:pPr>
      <w:r>
        <w:t>Evidence segment 17: Yes, you're right; we do have a strong and vested interest in publishing results that so obviously endorse our existence.</w:t>
      </w:r>
    </w:p>
    <w:p>
      <w:pPr>
        <w:pStyle w:val="ListBullet"/>
      </w:pPr>
      <w:r>
        <w:t>Evidence segment 18: Moreover, the author of the article is also an editor of an open-access journal.</w:t>
      </w:r>
    </w:p>
    <w:p>
      <w:pPr>
        <w:pStyle w:val="ListBullet"/>
      </w:pPr>
      <w:r>
        <w:t>Evidence segment 19: But sometimes a potential conflict of interest can actually help to ensure rigor.</w:t>
      </w:r>
    </w:p>
    <w:p>
      <w:pPr>
        <w:pStyle w:val="ListBullet"/>
      </w:pPr>
      <w:r>
        <w:t>Evidence segment 20: In this case, we have an acute interest in ensuring that the article meets the same, if not higher, standards as any other research article we publish.</w:t>
      </w:r>
    </w:p>
    <w:p>
      <w:pPr>
        <w:pStyle w:val="ListBullet"/>
      </w:pPr>
      <w:r>
        <w:t>Evidence segment 21: Not only must the conclusions provide a significant advance for the field, but the study must be technically sound, with appropriate evidence to support those conclusions.</w:t>
      </w:r>
    </w:p>
    <w:p>
      <w:pPr>
        <w:pStyle w:val="ListBullet"/>
      </w:pPr>
      <w:r>
        <w:t>Evidence segment 22: As with all our research articles, we consulted throughout the evaluation process with an academic editor with appropriate expertise—in this case, Carol Tenopir, professor of information sciences at the University of Tennessee (Knoxville, Tennessee, United States).</w:t>
      </w:r>
    </w:p>
    <w:p>
      <w:pPr>
        <w:pStyle w:val="ListBullet"/>
      </w:pPr>
      <w:r>
        <w:t>Evidence segment 23: The article was reviewed by two experts in bibliometric analyses and information science, and an experienced research biologist with expertise in statistics.</w:t>
      </w:r>
    </w:p>
    <w:p>
      <w:pPr>
        <w:pStyle w:val="ListBullet"/>
      </w:pPr>
      <w:r>
        <w:t>Evidence segment 24: They all enthusiastically supported publication, although one understandably questioned the suitability of PLoS Biology as the publication venue.</w:t>
      </w:r>
    </w:p>
    <w:p>
      <w:pPr>
        <w:pStyle w:val="ListBullet"/>
      </w:pPr>
      <w:r>
        <w:t>Evidence segment 25: We have no intention of making PLoS Biology a regular home for bibliometric studies (even when about open access).</w:t>
      </w:r>
    </w:p>
    <w:p>
      <w:pPr>
        <w:pStyle w:val="ListBullet"/>
      </w:pPr>
      <w:r>
        <w:t>Evidence segment 26: What makes this study worth publishing in PLoS Biology is not only the relative strength of evidence supporting the claim but also the extent to which many (especially other publishers) have anticipated such an analysis.</w:t>
      </w:r>
    </w:p>
    <w:p>
      <w:pPr>
        <w:pStyle w:val="ListBullet"/>
      </w:pPr>
      <w:r>
        <w:t>Evidence segment 27: As far as we are aware, no other study has compared OA and non-OA articles from the same journal and controlled for so many potentially confounding factors.</w:t>
      </w:r>
    </w:p>
    <w:p>
      <w:pPr>
        <w:pStyle w:val="ListBullet"/>
      </w:pPr>
      <w:r>
        <w:t>Evidence segment 28: Eysenbach's multivariate analysis took into account the number of days since publication, number of authors, article type, country of the corresponding author, funding type, subject area, submission track ( PNAS has three different ways that authors can submit a paper), and the previous citation record of the first and last authors.</w:t>
      </w:r>
    </w:p>
    <w:p>
      <w:pPr>
        <w:pStyle w:val="ListBullet"/>
      </w:pPr>
      <w:r>
        <w:t>Evidence segment 29: He even administered a supplementary questionnaire to assess whether authors choosing the OA option in PNAS chose to do so for only their most important research (they didn't).</w:t>
      </w:r>
    </w:p>
    <w:p>
      <w:pPr>
        <w:pStyle w:val="ListBullet"/>
      </w:pPr>
      <w:r>
        <w:t>Evidence segment 30: As Ian Rowlands from the Centre for Publishing at University College London—and one of the reviewers who agreed to be identified in this article—said at the start of his review:          “Many (most) of the papers and presentations I have read/seen on this topic have completely failed to address the kinds of confounding issues that are so convincingly tackled here.</w:t>
      </w:r>
    </w:p>
    <w:p>
      <w:pPr>
        <w:pStyle w:val="ListBullet"/>
      </w:pPr>
      <w:r>
        <w:t>Evidence segment 31: For that reason alone, this paper deserves to be published and alerted to the widest possible audience.</w:t>
      </w:r>
    </w:p>
    <w:p>
      <w:pPr>
        <w:pStyle w:val="ListBullet"/>
      </w:pPr>
      <w:r>
        <w:t>Evidence segment 32: ”          In addition to providing evidence for the immediate advantage of open access, Eysenbach's analysis also highlights several potential challenges to its long-term future.</w:t>
      </w:r>
    </w:p>
    <w:p>
      <w:pPr>
        <w:pStyle w:val="ListBullet"/>
      </w:pPr>
      <w:r>
        <w:t>Evidence segment 33: Although a limited dataset, the citation history of the first and last authors differed between those who chose the open-access option and those who did not.</w:t>
      </w:r>
    </w:p>
    <w:p>
      <w:pPr>
        <w:pStyle w:val="ListBullet"/>
      </w:pPr>
      <w:r>
        <w:t>Evidence segment 34: In the group that chose open access, last authors tended to have a “stronger” previous citation record, whereas this situation was reversed among the group that declined the open-access option—here, it was the first authors who tended to be stronger.</w:t>
      </w:r>
    </w:p>
    <w:p>
      <w:pPr>
        <w:pStyle w:val="ListBullet"/>
      </w:pPr>
      <w:r>
        <w:t>Evidence segment 35: This may reflect varying attitudes of authors at different stages of their career, a stronger influence from the leader of a particular group, or an age- or career-related difference in the ability to pay the publication charge (e.g., [ 1]).</w:t>
      </w:r>
    </w:p>
    <w:p>
      <w:pPr>
        <w:pStyle w:val="ListBullet"/>
      </w:pPr>
      <w:r>
        <w:t>Evidence segment 36: Indeed, access to appropriate funds may also be a reason why a lower proportion of authors from European countries tended to choose the open-access option.</w:t>
      </w:r>
    </w:p>
    <w:p>
      <w:pPr>
        <w:pStyle w:val="ListBullet"/>
      </w:pPr>
      <w:r>
        <w:t>Evidence segment 37: In many of these countries, funds for page charges—and, by extension, open-access publication fees—are often not included within research grants.</w:t>
      </w:r>
    </w:p>
    <w:p>
      <w:pPr>
        <w:pStyle w:val="ListBullet"/>
      </w:pPr>
      <w:r>
        <w:t>Evidence segment 38: PNAS was one of the first journals to offer an open-access option to its authors.</w:t>
      </w:r>
    </w:p>
    <w:p>
      <w:pPr>
        <w:pStyle w:val="ListBullet"/>
      </w:pPr>
      <w:r>
        <w:t>Evidence segment 39: However, such hybrid journals are increasing: Blackwell, Springer, and Oxford University Press now provide this option as well.</w:t>
      </w:r>
    </w:p>
    <w:p>
      <w:pPr>
        <w:pStyle w:val="ListBullet"/>
      </w:pPr>
      <w:r>
        <w:t>Evidence segment 40: This means that similar experiments can be replicated.</w:t>
      </w:r>
    </w:p>
    <w:p>
      <w:pPr>
        <w:pStyle w:val="ListBullet"/>
      </w:pPr>
      <w:r>
        <w:t>Evidence segment 41: Moreover, although the evidence from the current analysis argues most strongly for a time advantage in citation for OA articles, a study over longer periods will reveal whether this translates into a sustained increase in the number of citations.</w:t>
      </w:r>
    </w:p>
    <w:p>
      <w:pPr>
        <w:pStyle w:val="ListBullet"/>
      </w:pPr>
      <w:r>
        <w:t>Evidence segment 42: In the meantime, open-access advocates should be emboldened by tangible evidence for what has seemed obvious all along.</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27768226</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Open Access Increases Citation Rate</dc:title>
</cp:coreProperties>
</file>