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Combined Single-Cell Functional and Gene Expression Analysis Resolves Heterogeneity within Stem Cell Populations</w:t>
      </w:r>
    </w:p>
    <w:p>
      <w:r>
        <w:rPr>
          <w:rFonts w:ascii="Courier New" w:hAnsi="Courier New" w:cs="Courier New" w:eastAsia="Courier New"/>
          <w:sz w:val="18"/>
        </w:rPr>
        <w:t>SCIFACT-EVIDENCE-13980338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Heterogeneity within the self-renewal durability of adult hematopoietic stem cells (HSCs) challenges our understanding of the molecular framework underlying HSC function.</w:t>
      </w:r>
    </w:p>
    <w:p>
      <w:r>
        <w:rPr>
          <w:rFonts w:ascii="Arial" w:hAnsi="Arial" w:cs="Arial" w:eastAsia="Arial"/>
          <w:sz w:val="22"/>
        </w:rPr>
        <w:t>Gene expression studies have been hampered by the presence of multiple HSC subtypes and contaminating non-HSCs in bulk HSC populations.</w:t>
      </w:r>
    </w:p>
    <w:p>
      <w:r>
        <w:rPr>
          <w:rFonts w:ascii="Arial" w:hAnsi="Arial" w:cs="Arial" w:eastAsia="Arial"/>
          <w:sz w:val="22"/>
        </w:rPr>
        <w:t>To gain deeper insight into the gene expression program of murine HSCs, we combined single-cell functional assays with flow cytometric index sorting and single-cell gene expression assays.</w:t>
      </w:r>
    </w:p>
    <w:p>
      <w:r>
        <w:rPr>
          <w:rFonts w:ascii="Arial" w:hAnsi="Arial" w:cs="Arial" w:eastAsia="Arial"/>
          <w:sz w:val="22"/>
        </w:rPr>
        <w:t>Through bioinformatic integration of these datasets, we designed an unbiased sorting strategy that separates non-HSCs away from HSCs, and single-cell transplantation experiments using the enriched population were combined with RNA-seq data to identify key molecules that associate with long-term durable self-renewal, producing a single-cell molecular dataset that is linked to functional stem cell activity.</w:t>
      </w:r>
    </w:p>
    <w:p>
      <w:r>
        <w:rPr>
          <w:rFonts w:ascii="Arial" w:hAnsi="Arial" w:cs="Arial" w:eastAsia="Arial"/>
          <w:sz w:val="22"/>
        </w:rPr>
        <w:t>Finally, we demonstrated the broader applicability of this approach for linking key molecules with defined cellular functions in another stem cell system.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13980338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Heterogeneity within the self-renewal durability of adult hematopoietic stem cells (HSCs) challenges our understanding of the molecular framework underlying HSC function.</w:t>
      </w:r>
    </w:p>
    <w:p>
      <w:pPr>
        <w:pStyle w:val="ListBullet"/>
      </w:pPr>
      <w:r>
        <w:t>Evidence segment 2: Gene expression studies have been hampered by the presence of multiple HSC subtypes and contaminating non-HSCs in bulk HSC populations.</w:t>
      </w:r>
    </w:p>
    <w:p>
      <w:pPr>
        <w:pStyle w:val="ListBullet"/>
      </w:pPr>
      <w:r>
        <w:t>Evidence segment 3: To gain deeper insight into the gene expression program of murine HSCs, we combined single-cell functional assays with flow cytometric index sorting and single-cell gene expression assays.</w:t>
      </w:r>
    </w:p>
    <w:p>
      <w:pPr>
        <w:pStyle w:val="ListBullet"/>
      </w:pPr>
      <w:r>
        <w:t>Evidence segment 4: Through bioinformatic integration of these datasets, we designed an unbiased sorting strategy that separates non-HSCs away from HSCs, and single-cell transplantation experiments using the enriched population were combined with RNA-seq data to identify key molecules that associate with long-term durable self-renewal, producing a single-cell molecular dataset that is linked to functional stem cell activity.</w:t>
      </w:r>
    </w:p>
    <w:p>
      <w:pPr>
        <w:pStyle w:val="ListBullet"/>
      </w:pPr>
      <w:r>
        <w:t>Evidence segment 5: Finally, we demonstrated the broader applicability of this approach for linking key molecules with defined cellular functions in another stem cell system.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13980338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Combined Single-Cell Functional and Gene Expression Analysis Resolves Heterogeneity within Stem Cell Populations</dc:title>
</cp:coreProperties>
</file>