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jc w:val="left"/>
      </w:pPr>
      <w:r>
        <w:rPr>
          <w:b w:val="on"/>
          <w:sz w:val="36"/>
        </w:rPr>
        <w:t>Coupled local translation and degradation regulate growth cone collapse</w:t>
      </w:r>
    </w:p>
    <w:p>
      <w:r>
        <w:rPr>
          <w:rFonts w:ascii="Courier New" w:hAnsi="Courier New" w:cs="Courier New" w:eastAsia="Courier New"/>
          <w:sz w:val="18"/>
        </w:rPr>
        <w:t>SCIFACT-EVIDENCE-2988714</w:t>
      </w:r>
    </w:p>
    <w:p>
      <w:pPr>
        <w:pStyle w:val="Heading2"/>
        <w:jc w:val="left"/>
      </w:pPr>
      <w:r>
        <w:rPr>
          <w:b w:val="on"/>
          <w:sz w:val="28"/>
        </w:rPr>
        <w:t>Evidence abstract</w:t>
      </w:r>
    </w:p>
    <w:p>
      <w:r>
        <w:rPr>
          <w:rFonts w:ascii="Arial" w:hAnsi="Arial" w:cs="Arial" w:eastAsia="Arial"/>
          <w:sz w:val="22"/>
        </w:rPr>
        <w:t>Local translation mediates axonal responses to Semaphorin3A (Sema3A) and other guidance cues.</w:t>
      </w:r>
    </w:p>
    <w:p>
      <w:r>
        <w:rPr>
          <w:rFonts w:ascii="Arial" w:hAnsi="Arial" w:cs="Arial" w:eastAsia="Arial"/>
          <w:sz w:val="22"/>
        </w:rPr>
        <w:t>However, only a subset of the axonal proteome is locally synthesized, whereas most proteins are trafficked from the soma.</w:t>
      </w:r>
    </w:p>
    <w:p>
      <w:r>
        <w:rPr>
          <w:rFonts w:ascii="Arial" w:hAnsi="Arial" w:cs="Arial" w:eastAsia="Arial"/>
          <w:sz w:val="22"/>
        </w:rPr>
        <w:t>The reason why only specific proteins are locally synthesized is unknown.</w:t>
      </w:r>
    </w:p>
    <w:p>
      <w:r>
        <w:rPr>
          <w:rFonts w:ascii="Arial" w:hAnsi="Arial" w:cs="Arial" w:eastAsia="Arial"/>
          <w:sz w:val="22"/>
        </w:rPr>
        <w:t>Here we show that local protein synthesis and degradation are linked events in growth cones.</w:t>
      </w:r>
    </w:p>
    <w:p>
      <w:r>
        <w:rPr>
          <w:rFonts w:ascii="Arial" w:hAnsi="Arial" w:cs="Arial" w:eastAsia="Arial"/>
          <w:sz w:val="22"/>
        </w:rPr>
        <w:t>We find that growth cones exhibit high levels of ubiquitination and that local signalling pathways trigger the ubiquitination and degradation of RhoA, a mediator of Sema3A-induced growth cone collapse.</w:t>
      </w:r>
    </w:p>
    <w:p>
      <w:r>
        <w:rPr>
          <w:rFonts w:ascii="Arial" w:hAnsi="Arial" w:cs="Arial" w:eastAsia="Arial"/>
          <w:sz w:val="22"/>
        </w:rPr>
        <w:t>Inhibition of RhoA degradation is sufficient to remove the protein-synthesis requirement for Sema3A-induced growth cone collapse.</w:t>
      </w:r>
    </w:p>
    <w:p>
      <w:r>
        <w:rPr>
          <w:rFonts w:ascii="Arial" w:hAnsi="Arial" w:cs="Arial" w:eastAsia="Arial"/>
          <w:sz w:val="22"/>
        </w:rPr>
        <w:t>In addition to RhoA, we find that locally translated proteins are the main targets of the ubiquitin-proteasome system in growth cones.</w:t>
      </w:r>
    </w:p>
    <w:p>
      <w:r>
        <w:rPr>
          <w:rFonts w:ascii="Arial" w:hAnsi="Arial" w:cs="Arial" w:eastAsia="Arial"/>
          <w:sz w:val="22"/>
        </w:rPr>
        <w:t>Thus, local protein degradation is a major feature of growth cones and creates a requirement for local translation to replenish proteins needed to maintain growth cone responses.</w:t>
      </w:r>
    </w:p>
    <w:p>
      <w:pPr>
        <w:pStyle w:val="Heading2"/>
        <w:jc w:val="left"/>
      </w:pPr>
      <w:r>
        <w:rPr>
          <w:b w:val="on"/>
          <w:sz w:val="28"/>
        </w:rPr>
        <w:t>Document metadata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Corpus</w:t>
            </w:r>
          </w:p>
        </w:tc>
        <w:tc>
          <w:p>
            <w:r>
              <w:t>SciFact</w:t>
            </w:r>
          </w:p>
        </w:tc>
      </w:tr>
      <w:tr>
        <w:tc>
          <w:p>
            <w:r>
              <w:t>Document ID</w:t>
            </w:r>
          </w:p>
        </w:tc>
        <w:tc>
          <w:p>
            <w:r>
              <w:t>2988714</w:t>
            </w:r>
          </w:p>
        </w:tc>
      </w:tr>
    </w:tbl>
    <w:p>
      <w:pPr>
        <w:pStyle w:val="Heading2"/>
        <w:jc w:val="left"/>
      </w:pPr>
      <w:r>
        <w:rPr>
          <w:b w:val="on"/>
          <w:sz w:val="28"/>
        </w:rPr>
        <w:t>Evidence checklist</w:t>
      </w:r>
    </w:p>
    <w:p>
      <w:pPr>
        <w:pStyle w:val="ListBullet"/>
      </w:pPr>
      <w:r>
        <w:t>Evidence segment 1: Local translation mediates axonal responses to Semaphorin3A (Sema3A) and other guidance cues.</w:t>
      </w:r>
    </w:p>
    <w:p>
      <w:pPr>
        <w:pStyle w:val="ListBullet"/>
      </w:pPr>
      <w:r>
        <w:t>Evidence segment 2: However, only a subset of the axonal proteome is locally synthesized, whereas most proteins are trafficked from the soma.</w:t>
      </w:r>
    </w:p>
    <w:p>
      <w:pPr>
        <w:pStyle w:val="ListBullet"/>
      </w:pPr>
      <w:r>
        <w:t>Evidence segment 3: The reason why only specific proteins are locally synthesized is unknown.</w:t>
      </w:r>
    </w:p>
    <w:p>
      <w:pPr>
        <w:pStyle w:val="ListBullet"/>
      </w:pPr>
      <w:r>
        <w:t>Evidence segment 4: Here we show that local protein synthesis and degradation are linked events in growth cones.</w:t>
      </w:r>
    </w:p>
    <w:p>
      <w:pPr>
        <w:pStyle w:val="ListBullet"/>
      </w:pPr>
      <w:r>
        <w:t>Evidence segment 5: We find that growth cones exhibit high levels of ubiquitination and that local signalling pathways trigger the ubiquitination and degradation of RhoA, a mediator of Sema3A-induced growth cone collapse.</w:t>
      </w:r>
    </w:p>
    <w:p>
      <w:pPr>
        <w:pStyle w:val="ListBullet"/>
      </w:pPr>
      <w:r>
        <w:t>Evidence segment 6: Inhibition of RhoA degradation is sufficient to remove the protein-synthesis requirement for Sema3A-induced growth cone collapse.</w:t>
      </w:r>
    </w:p>
    <w:p>
      <w:pPr>
        <w:pStyle w:val="ListBullet"/>
      </w:pPr>
      <w:r>
        <w:t>Evidence segment 7: In addition to RhoA, we find that locally translated proteins are the main targets of the ubiquitin-proteasome system in growth cones.</w:t>
      </w:r>
    </w:p>
    <w:p>
      <w:pPr>
        <w:pStyle w:val="ListBullet"/>
      </w:pPr>
      <w:r>
        <w:t>Evidence segment 8: Thus, local protein degradation is a major feature of growth cones and creates a requirement for local translation to replenish proteins needed to maintain growth cone responses.</w:t>
      </w:r>
    </w:p>
    <w:p>
      <w:r>
        <w:br w:type="page"/>
      </w:r>
    </w:p>
    <w:p>
      <w:pPr>
        <w:pStyle w:val="Heading2"/>
        <w:jc w:val="left"/>
      </w:pPr>
      <w:r>
        <w:rPr>
          <w:b w:val="on"/>
          <w:sz w:val="28"/>
        </w:rPr>
        <w:t>Source continuity</w:t>
      </w:r>
    </w:p>
    <w:p>
      <w:r>
        <w:rPr>
          <w:rFonts w:ascii="Arial" w:hAnsi="Arial" w:cs="Arial" w:eastAsia="Arial"/>
          <w:sz w:val="22"/>
        </w:rPr>
        <w:t>The canonical evidence above remains the authoritative retrieval target.</w:t>
      </w:r>
    </w:p>
    <w:sectPr>
      <w:headerReference w:type="default" r:id="rId2"/>
      <w:footerReference w:type="default" r:id="rId3"/>
    </w:sectPr>
  </w:body>
</w:document>
</file>

<file path=word/footer1.xml><?xml version="1.0" encoding="utf-8"?>
<w:ftr xmlns:w="http://schemas.openxmlformats.org/wordprocessingml/2006/main">
  <w:p>
    <w:r>
      <w:t>Document 2988714</w:t>
    </w:r>
  </w:p>
</w:ftr>
</file>

<file path=word/header1.xml><?xml version="1.0" encoding="utf-8"?>
<w:hdr xmlns:w="http://schemas.openxmlformats.org/wordprocessingml/2006/main">
  <w:p>
    <w:r>
      <w:t>SciFact controlled format benchmark</w:t>
    </w:r>
  </w:p>
</w:hd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header1.xml" Type="http://schemas.openxmlformats.org/officeDocument/2006/relationships/header"/><Relationship Id="rId3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2026-07-29T00:00:00Z</dcterms:created>
  <dc:creator>ai-agent-scaffold-benchmark</dc:creator>
  <dc:title>Coupled local translation and degradation regulate growth cone collapse</dc:title>
</cp:coreProperties>
</file>