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Using Structural Information to Change the Phosphotransfer Specificity of a Two-Component Chemotaxis Signalling Complex</w:t>
      </w:r>
    </w:p>
    <w:p>
      <w:r>
        <w:rPr>
          <w:rFonts w:ascii="Courier New" w:hAnsi="Courier New" w:cs="Courier New" w:eastAsia="Courier New"/>
          <w:sz w:val="18"/>
        </w:rPr>
        <w:t>SCIFACT-EVIDENCE-11603066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Two-component signal transduction pathways comprising histidine protein kinases (HPKs) and their response regulators (RRs) are widely used to control bacterial responses to environmental challenges.</w:t>
      </w:r>
    </w:p>
    <w:p>
      <w:r>
        <w:rPr>
          <w:rFonts w:ascii="Arial" w:hAnsi="Arial" w:cs="Arial" w:eastAsia="Arial"/>
          <w:sz w:val="22"/>
        </w:rPr>
        <w:t>Some bacteria have over 150 different two-component pathways, and the specificity of the phosphotransfer reactions within these systems is tightly controlled to prevent unwanted crosstalk.</w:t>
      </w:r>
    </w:p>
    <w:p>
      <w:r>
        <w:rPr>
          <w:rFonts w:ascii="Arial" w:hAnsi="Arial" w:cs="Arial" w:eastAsia="Arial"/>
          <w:sz w:val="22"/>
        </w:rPr>
        <w:t>One of the best understood two-component signalling pathways is the chemotaxis pathway.</w:t>
      </w:r>
    </w:p>
    <w:p>
      <w:r>
        <w:rPr>
          <w:rFonts w:ascii="Arial" w:hAnsi="Arial" w:cs="Arial" w:eastAsia="Arial"/>
          <w:sz w:val="22"/>
        </w:rPr>
        <w:t>Here, we present the 1.40 A crystal structure of the histidine-containing phosphotransfer domain of the chemotaxis HPK, CheA(3), in complex with its cognate RR, CheY(6).</w:t>
      </w:r>
    </w:p>
    <w:p>
      <w:r>
        <w:rPr>
          <w:rFonts w:ascii="Arial" w:hAnsi="Arial" w:cs="Arial" w:eastAsia="Arial"/>
          <w:sz w:val="22"/>
        </w:rPr>
        <w:t>A methionine finger on CheY(6) that nestles in a hydrophobic pocket in CheA(3) was shown to be important for the interaction and was found to only occur in the cognate RRs of CheA(3), CheY(6), and CheB(2).</w:t>
      </w:r>
    </w:p>
    <w:p>
      <w:r>
        <w:rPr>
          <w:rFonts w:ascii="Arial" w:hAnsi="Arial" w:cs="Arial" w:eastAsia="Arial"/>
          <w:sz w:val="22"/>
        </w:rPr>
        <w:t>Site-directed mutagenesis of this methionine in combination with two adjacent residues abolished binding, as shown by surface plasmon resonance studies, and phosphotransfer from CheA(3)-P to CheY(6).</w:t>
      </w:r>
    </w:p>
    <w:p>
      <w:r>
        <w:rPr>
          <w:rFonts w:ascii="Arial" w:hAnsi="Arial" w:cs="Arial" w:eastAsia="Arial"/>
          <w:sz w:val="22"/>
        </w:rPr>
        <w:t>Introduction of this methionine and an adjacent alanine residue into a range of noncognate CheYs, dramatically changed their specificity, allowing protein interaction and rapid phosphotransfer from CheA(3)-P.</w:t>
      </w:r>
    </w:p>
    <w:p>
      <w:r>
        <w:rPr>
          <w:rFonts w:ascii="Arial" w:hAnsi="Arial" w:cs="Arial" w:eastAsia="Arial"/>
          <w:sz w:val="22"/>
        </w:rPr>
        <w:t>The structure presented here has allowed us to identify specificity determinants for the CheA-CheY interaction and subsequently to successfully reengineer phosphotransfer signalling.</w:t>
      </w:r>
    </w:p>
    <w:p>
      <w:r>
        <w:rPr>
          <w:rFonts w:ascii="Arial" w:hAnsi="Arial" w:cs="Arial" w:eastAsia="Arial"/>
          <w:sz w:val="22"/>
        </w:rPr>
        <w:t>In summary, our results provide valuable insight into how cells mediate specificity in one of the most abundant signalling pathways in biology, two-component signal transduction.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11603066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Two-component signal transduction pathways comprising histidine protein kinases (HPKs) and their response regulators (RRs) are widely used to control bacterial responses to environmental challenges.</w:t>
      </w:r>
    </w:p>
    <w:p>
      <w:pPr>
        <w:pStyle w:val="ListBullet"/>
      </w:pPr>
      <w:r>
        <w:t>Evidence segment 2: Some bacteria have over 150 different two-component pathways, and the specificity of the phosphotransfer reactions within these systems is tightly controlled to prevent unwanted crosstalk.</w:t>
      </w:r>
    </w:p>
    <w:p>
      <w:pPr>
        <w:pStyle w:val="ListBullet"/>
      </w:pPr>
      <w:r>
        <w:t>Evidence segment 3: One of the best understood two-component signalling pathways is the chemotaxis pathway.</w:t>
      </w:r>
    </w:p>
    <w:p>
      <w:pPr>
        <w:pStyle w:val="ListBullet"/>
      </w:pPr>
      <w:r>
        <w:t>Evidence segment 4: Here, we present the 1.40 A crystal structure of the histidine-containing phosphotransfer domain of the chemotaxis HPK, CheA(3), in complex with its cognate RR, CheY(6).</w:t>
      </w:r>
    </w:p>
    <w:p>
      <w:pPr>
        <w:pStyle w:val="ListBullet"/>
      </w:pPr>
      <w:r>
        <w:t>Evidence segment 5: A methionine finger on CheY(6) that nestles in a hydrophobic pocket in CheA(3) was shown to be important for the interaction and was found to only occur in the cognate RRs of CheA(3), CheY(6), and CheB(2).</w:t>
      </w:r>
    </w:p>
    <w:p>
      <w:pPr>
        <w:pStyle w:val="ListBullet"/>
      </w:pPr>
      <w:r>
        <w:t>Evidence segment 6: Site-directed mutagenesis of this methionine in combination with two adjacent residues abolished binding, as shown by surface plasmon resonance studies, and phosphotransfer from CheA(3)-P to CheY(6).</w:t>
      </w:r>
    </w:p>
    <w:p>
      <w:pPr>
        <w:pStyle w:val="ListBullet"/>
      </w:pPr>
      <w:r>
        <w:t>Evidence segment 7: Introduction of this methionine and an adjacent alanine residue into a range of noncognate CheYs, dramatically changed their specificity, allowing protein interaction and rapid phosphotransfer from CheA(3)-P.</w:t>
      </w:r>
    </w:p>
    <w:p>
      <w:pPr>
        <w:pStyle w:val="ListBullet"/>
      </w:pPr>
      <w:r>
        <w:t>Evidence segment 8: The structure presented here has allowed us to identify specificity determinants for the CheA-CheY interaction and subsequently to successfully reengineer phosphotransfer signalling.</w:t>
      </w:r>
    </w:p>
    <w:p>
      <w:pPr>
        <w:pStyle w:val="ListBullet"/>
      </w:pPr>
      <w:r>
        <w:t>Evidence segment 9: In summary, our results provide valuable insight into how cells mediate specificity in one of the most abundant signalling pathways in biology, two-component signal transduction.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11603066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Using Structural Information to Change the Phosphotransfer Specificity of a Two-Component Chemotaxis Signalling Complex</dc:title>
</cp:coreProperties>
</file>