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Ribosome-Mediated Specificity in Hox mRNA Translation and Vertebrate Tissue Patterning</w:t>
      </w:r>
    </w:p>
    <w:p>
      <w:r>
        <w:rPr>
          <w:rFonts w:ascii="Courier New" w:hAnsi="Courier New" w:cs="Courier New" w:eastAsia="Courier New"/>
          <w:sz w:val="18"/>
        </w:rPr>
        <w:t>SCIFACT-EVIDENCE-12486491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Historically, the ribosome has been viewed as a complex ribozyme with constitutive rather than regulatory capacity in mRNA translation.</w:t>
      </w:r>
    </w:p>
    <w:p>
      <w:r>
        <w:rPr>
          <w:rFonts w:ascii="Arial" w:hAnsi="Arial" w:cs="Arial" w:eastAsia="Arial"/>
          <w:sz w:val="22"/>
        </w:rPr>
        <w:t>Here we identify mutations of the Ribosomal Protein L38 (Rpl38) gene in mice exhibiting surprising tissue-specific patterning defects, including pronounced homeotic transformations of the axial skeleton.</w:t>
      </w:r>
    </w:p>
    <w:p>
      <w:r>
        <w:rPr>
          <w:rFonts w:ascii="Arial" w:hAnsi="Arial" w:cs="Arial" w:eastAsia="Arial"/>
          <w:sz w:val="22"/>
        </w:rPr>
        <w:t>In Rpl38 mutant embryos, global protein synthesis is unchanged; however the translation of a select subset of Homeobox mRNAs is perturbed.</w:t>
      </w:r>
    </w:p>
    <w:p>
      <w:r>
        <w:rPr>
          <w:rFonts w:ascii="Arial" w:hAnsi="Arial" w:cs="Arial" w:eastAsia="Arial"/>
          <w:sz w:val="22"/>
        </w:rPr>
        <w:t>Our data reveal that RPL38 facilitates 80S complex formation on these mRNAs as a regulatory component of the ribosome to confer transcript-specific translational control.</w:t>
      </w:r>
    </w:p>
    <w:p>
      <w:r>
        <w:rPr>
          <w:rFonts w:ascii="Arial" w:hAnsi="Arial" w:cs="Arial" w:eastAsia="Arial"/>
          <w:sz w:val="22"/>
        </w:rPr>
        <w:t>We further show that Rpl38 expression is markedly enriched in regions of the embryo where loss-of-function phenotypes occur.</w:t>
      </w:r>
    </w:p>
    <w:p>
      <w:r>
        <w:rPr>
          <w:rFonts w:ascii="Arial" w:hAnsi="Arial" w:cs="Arial" w:eastAsia="Arial"/>
          <w:sz w:val="22"/>
        </w:rPr>
        <w:t>Unexpectedly, a ribosomal protein (RP) expression screen reveals dynamic regulation of individual RPs within the vertebrate embryo.</w:t>
      </w:r>
    </w:p>
    <w:p>
      <w:r>
        <w:rPr>
          <w:rFonts w:ascii="Arial" w:hAnsi="Arial" w:cs="Arial" w:eastAsia="Arial"/>
          <w:sz w:val="22"/>
        </w:rPr>
        <w:t>Collectively, these findings suggest that RP activity may be highly regulated to impart a new layer of specificity in the control of gene expression and mammalian development.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12486491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Historically, the ribosome has been viewed as a complex ribozyme with constitutive rather than regulatory capacity in mRNA translation.</w:t>
      </w:r>
    </w:p>
    <w:p>
      <w:pPr>
        <w:pStyle w:val="ListBullet"/>
      </w:pPr>
      <w:r>
        <w:t>Evidence segment 2: Here we identify mutations of the Ribosomal Protein L38 (Rpl38) gene in mice exhibiting surprising tissue-specific patterning defects, including pronounced homeotic transformations of the axial skeleton.</w:t>
      </w:r>
    </w:p>
    <w:p>
      <w:pPr>
        <w:pStyle w:val="ListBullet"/>
      </w:pPr>
      <w:r>
        <w:t>Evidence segment 3: In Rpl38 mutant embryos, global protein synthesis is unchanged; however the translation of a select subset of Homeobox mRNAs is perturbed.</w:t>
      </w:r>
    </w:p>
    <w:p>
      <w:pPr>
        <w:pStyle w:val="ListBullet"/>
      </w:pPr>
      <w:r>
        <w:t>Evidence segment 4: Our data reveal that RPL38 facilitates 80S complex formation on these mRNAs as a regulatory component of the ribosome to confer transcript-specific translational control.</w:t>
      </w:r>
    </w:p>
    <w:p>
      <w:pPr>
        <w:pStyle w:val="ListBullet"/>
      </w:pPr>
      <w:r>
        <w:t>Evidence segment 5: We further show that Rpl38 expression is markedly enriched in regions of the embryo where loss-of-function phenotypes occur.</w:t>
      </w:r>
    </w:p>
    <w:p>
      <w:pPr>
        <w:pStyle w:val="ListBullet"/>
      </w:pPr>
      <w:r>
        <w:t>Evidence segment 6: Unexpectedly, a ribosomal protein (RP) expression screen reveals dynamic regulation of individual RPs within the vertebrate embryo.</w:t>
      </w:r>
    </w:p>
    <w:p>
      <w:pPr>
        <w:pStyle w:val="ListBullet"/>
      </w:pPr>
      <w:r>
        <w:t>Evidence segment 7: Collectively, these findings suggest that RP activity may be highly regulated to impart a new layer of specificity in the control of gene expression and mammalian development.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12486491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Ribosome-Mediated Specificity in Hox mRNA Translation and Vertebrate Tissue Patterning</dc:title>
</cp:coreProperties>
</file>