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Contractile forces sustain and polarize hematopoiesis from stem and progenitor cells.</w:t>
      </w:r>
    </w:p>
    <w:p>
      <w:r>
        <w:rPr>
          <w:rFonts w:ascii="Courier New" w:hAnsi="Courier New" w:cs="Courier New" w:eastAsia="Courier New"/>
          <w:sz w:val="18"/>
        </w:rPr>
        <w:t>SCIFACT-EVIDENCE-18909530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Self-renewal and differentiation of stem cells depend on asymmetric division and polarized motility processes that in other cell types are modulated by nonmuscle myosin-II (MII) forces and matrix mechanics.</w:t>
      </w:r>
    </w:p>
    <w:p>
      <w:r>
        <w:rPr>
          <w:rFonts w:ascii="Arial" w:hAnsi="Arial" w:cs="Arial" w:eastAsia="Arial"/>
          <w:sz w:val="22"/>
        </w:rPr>
        <w:t>Here, mass spectrometry-calibrated intracellular flow cytometry of human hematopoiesis reveals MIIB to be a major isoform that is strongly polarized in hematopoietic stem cells and progenitors (HSC/Ps) and thereby downregulated in differentiated cells via asymmetric division.</w:t>
      </w:r>
    </w:p>
    <w:p>
      <w:r>
        <w:rPr>
          <w:rFonts w:ascii="Arial" w:hAnsi="Arial" w:cs="Arial" w:eastAsia="Arial"/>
          <w:sz w:val="22"/>
        </w:rPr>
        <w:t>MIIA is constitutive and activated by dephosphorylation during cytokine-triggered differentiation of cells grown on stiff, endosteum-like matrix, but not soft, marrow-like matrix.</w:t>
      </w:r>
    </w:p>
    <w:p>
      <w:r>
        <w:rPr>
          <w:rFonts w:ascii="Arial" w:hAnsi="Arial" w:cs="Arial" w:eastAsia="Arial"/>
          <w:sz w:val="22"/>
        </w:rPr>
        <w:t>In vivo, MIIB is required for generation of blood, while MIIA is required for sustained HSC/P engraftment.</w:t>
      </w:r>
    </w:p>
    <w:p>
      <w:r>
        <w:rPr>
          <w:rFonts w:ascii="Arial" w:hAnsi="Arial" w:cs="Arial" w:eastAsia="Arial"/>
          <w:sz w:val="22"/>
        </w:rPr>
        <w:t>Reversible inhibition of both isoforms in culture with blebbistatin enriches for long-term hematopoietic multilineage reconstituting cells by 5-fold or more as assessed in vivo.</w:t>
      </w:r>
    </w:p>
    <w:p>
      <w:r>
        <w:rPr>
          <w:rFonts w:ascii="Arial" w:hAnsi="Arial" w:cs="Arial" w:eastAsia="Arial"/>
          <w:sz w:val="22"/>
        </w:rPr>
        <w:t>Megakaryocytes also become more polyploid, producing 4-fold more platelets.</w:t>
      </w:r>
    </w:p>
    <w:p>
      <w:r>
        <w:rPr>
          <w:rFonts w:ascii="Arial" w:hAnsi="Arial" w:cs="Arial" w:eastAsia="Arial"/>
          <w:sz w:val="22"/>
        </w:rPr>
        <w:t>MII is thus a multifunctional node in polarized division and niche sensing.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18909530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Self-renewal and differentiation of stem cells depend on asymmetric division and polarized motility processes that in other cell types are modulated by nonmuscle myosin-II (MII) forces and matrix mechanics.</w:t>
      </w:r>
    </w:p>
    <w:p>
      <w:pPr>
        <w:pStyle w:val="ListBullet"/>
      </w:pPr>
      <w:r>
        <w:t>Evidence segment 2: Here, mass spectrometry-calibrated intracellular flow cytometry of human hematopoiesis reveals MIIB to be a major isoform that is strongly polarized in hematopoietic stem cells and progenitors (HSC/Ps) and thereby downregulated in differentiated cells via asymmetric division.</w:t>
      </w:r>
    </w:p>
    <w:p>
      <w:pPr>
        <w:pStyle w:val="ListBullet"/>
      </w:pPr>
      <w:r>
        <w:t>Evidence segment 3: MIIA is constitutive and activated by dephosphorylation during cytokine-triggered differentiation of cells grown on stiff, endosteum-like matrix, but not soft, marrow-like matrix.</w:t>
      </w:r>
    </w:p>
    <w:p>
      <w:pPr>
        <w:pStyle w:val="ListBullet"/>
      </w:pPr>
      <w:r>
        <w:t>Evidence segment 4: In vivo, MIIB is required for generation of blood, while MIIA is required for sustained HSC/P engraftment.</w:t>
      </w:r>
    </w:p>
    <w:p>
      <w:pPr>
        <w:pStyle w:val="ListBullet"/>
      </w:pPr>
      <w:r>
        <w:t>Evidence segment 5: Reversible inhibition of both isoforms in culture with blebbistatin enriches for long-term hematopoietic multilineage reconstituting cells by 5-fold or more as assessed in vivo.</w:t>
      </w:r>
    </w:p>
    <w:p>
      <w:pPr>
        <w:pStyle w:val="ListBullet"/>
      </w:pPr>
      <w:r>
        <w:t>Evidence segment 6: Megakaryocytes also become more polyploid, producing 4-fold more platelets.</w:t>
      </w:r>
    </w:p>
    <w:p>
      <w:pPr>
        <w:pStyle w:val="ListBullet"/>
      </w:pPr>
      <w:r>
        <w:t>Evidence segment 7: MII is thus a multifunctional node in polarized division and niche sensing.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18909530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Contractile forces sustain and polarize hematopoiesis from stem and progenitor cells.</dc:title>
</cp:coreProperties>
</file>