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Effectiveness of thigh-length graduated compression stockings to reduce the risk of deep vein thrombosis after stroke (CLOTS trial 1): a multicentre, randomised controlled trial</w:t>
      </w:r>
    </w:p>
    <w:p>
      <w:r>
        <w:rPr>
          <w:rFonts w:ascii="Courier New" w:hAnsi="Courier New" w:cs="Courier New" w:eastAsia="Courier New"/>
          <w:sz w:val="18"/>
        </w:rPr>
        <w:t>SCIFACT-EVIDENCE-11718220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BACKGROUND Deep vein thrombosis (DVT) and pulmonary embolism are common after stroke.</w:t>
      </w:r>
    </w:p>
    <w:p>
      <w:r>
        <w:rPr>
          <w:rFonts w:ascii="Arial" w:hAnsi="Arial" w:cs="Arial" w:eastAsia="Arial"/>
          <w:sz w:val="22"/>
        </w:rPr>
        <w:t>In small trials of patients undergoing surgery, graduated compression stockings (GCS) reduce the risk of DVT.</w:t>
      </w:r>
    </w:p>
    <w:p>
      <w:r>
        <w:rPr>
          <w:rFonts w:ascii="Arial" w:hAnsi="Arial" w:cs="Arial" w:eastAsia="Arial"/>
          <w:sz w:val="22"/>
        </w:rPr>
        <w:t>National stroke guidelines extrapolating from these trials recommend their use in patients with stroke despite insufficient evidence.</w:t>
      </w:r>
    </w:p>
    <w:p>
      <w:r>
        <w:rPr>
          <w:rFonts w:ascii="Arial" w:hAnsi="Arial" w:cs="Arial" w:eastAsia="Arial"/>
          <w:sz w:val="22"/>
        </w:rPr>
        <w:t>We assessed the effectiveness of thigh-length GCS to reduce DVT after stroke.</w:t>
      </w:r>
    </w:p>
    <w:p>
      <w:r>
        <w:rPr>
          <w:rFonts w:ascii="Arial" w:hAnsi="Arial" w:cs="Arial" w:eastAsia="Arial"/>
          <w:sz w:val="22"/>
        </w:rPr>
        <w:t>METHODS In this outcome-blinded, randomised controlled trial, 2518 patients who were admitted to hospital within 1 week of an acute stroke and who were immobile were enrolled from 64 centres in the UK, Italy, and Australia.</w:t>
      </w:r>
    </w:p>
    <w:p>
      <w:r>
        <w:rPr>
          <w:rFonts w:ascii="Arial" w:hAnsi="Arial" w:cs="Arial" w:eastAsia="Arial"/>
          <w:sz w:val="22"/>
        </w:rPr>
        <w:t>Patients were allocated via a central randomisation system to routine care plus thigh-length GCS (n=1256) or to routine care plus avoidance of GCS (n=1262).</w:t>
      </w:r>
    </w:p>
    <w:p>
      <w:r>
        <w:rPr>
          <w:rFonts w:ascii="Arial" w:hAnsi="Arial" w:cs="Arial" w:eastAsia="Arial"/>
          <w:sz w:val="22"/>
        </w:rPr>
        <w:t>A technician who was blinded to treatment allocation undertook compression Doppler ultrasound of both legs at about 7-10 days and, when practical, again at 25-30 days after enrolment.</w:t>
      </w:r>
    </w:p>
    <w:p>
      <w:r>
        <w:rPr>
          <w:rFonts w:ascii="Arial" w:hAnsi="Arial" w:cs="Arial" w:eastAsia="Arial"/>
          <w:sz w:val="22"/>
        </w:rPr>
        <w:t>The primary outcome was the occurrence of symptomatic or asymptomatic DVT in the popliteal or femoral veins.</w:t>
      </w:r>
    </w:p>
    <w:p>
      <w:r>
        <w:rPr>
          <w:rFonts w:ascii="Arial" w:hAnsi="Arial" w:cs="Arial" w:eastAsia="Arial"/>
          <w:sz w:val="22"/>
        </w:rPr>
        <w:t>Analyses were by intention to treat.</w:t>
      </w:r>
    </w:p>
    <w:p>
      <w:r>
        <w:rPr>
          <w:rFonts w:ascii="Arial" w:hAnsi="Arial" w:cs="Arial" w:eastAsia="Arial"/>
          <w:sz w:val="22"/>
        </w:rPr>
        <w:t>This study is registered, number ISRCTN28163533.</w:t>
      </w:r>
    </w:p>
    <w:p>
      <w:r>
        <w:rPr>
          <w:rFonts w:ascii="Arial" w:hAnsi="Arial" w:cs="Arial" w:eastAsia="Arial"/>
          <w:sz w:val="22"/>
        </w:rPr>
        <w:t>FINDINGS All patients were included in the analyses.</w:t>
      </w:r>
    </w:p>
    <w:p>
      <w:r>
        <w:rPr>
          <w:rFonts w:ascii="Arial" w:hAnsi="Arial" w:cs="Arial" w:eastAsia="Arial"/>
          <w:sz w:val="22"/>
        </w:rPr>
        <w:t>The primary outcome occurred in 126 (10.0%) patients allocated to thigh-length GCS and in 133 (10.5%) allocated to avoid GCS, resulting in a non-significant absolute reduction in risk of 0.5% (95% CI -1.9% to 2.9%).</w:t>
      </w:r>
    </w:p>
    <w:p>
      <w:r>
        <w:rPr>
          <w:rFonts w:ascii="Arial" w:hAnsi="Arial" w:cs="Arial" w:eastAsia="Arial"/>
          <w:sz w:val="22"/>
        </w:rPr>
        <w:t>Skin breaks, ulcers, blisters, and skin necrosis were significantly more common in patients allocated to GCS than in those allocated to avoid their use (64 [5%] vs 16 [1%]; odds ratio 4.18, 95% CI 2.40-7.27).</w:t>
      </w:r>
    </w:p>
    <w:p>
      <w:r>
        <w:rPr>
          <w:rFonts w:ascii="Arial" w:hAnsi="Arial" w:cs="Arial" w:eastAsia="Arial"/>
          <w:sz w:val="22"/>
        </w:rPr>
        <w:t>INTERPRETATION These data do not lend support to the use of thigh-length GCS in patients admitted to hospital with acute stroke.</w:t>
      </w:r>
    </w:p>
    <w:p>
      <w:r>
        <w:rPr>
          <w:rFonts w:ascii="Arial" w:hAnsi="Arial" w:cs="Arial" w:eastAsia="Arial"/>
          <w:sz w:val="22"/>
        </w:rPr>
        <w:t>National guidelines for stroke might need to be revised on the basis of these results.</w:t>
      </w:r>
    </w:p>
    <w:p>
      <w:r>
        <w:rPr>
          <w:rFonts w:ascii="Arial" w:hAnsi="Arial" w:cs="Arial" w:eastAsia="Arial"/>
          <w:sz w:val="22"/>
        </w:rPr>
        <w:t>FUNDING Medical Research Council (UK), Chief Scientist Office of Scottish Government, Chest Heart and Stroke Scotland, Tyco Healthcare (Covidien) USA, and UK Stroke Research Network.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11718220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BACKGROUND Deep vein thrombosis (DVT) and pulmonary embolism are common after stroke.</w:t>
      </w:r>
    </w:p>
    <w:p>
      <w:pPr>
        <w:pStyle w:val="ListBullet"/>
      </w:pPr>
      <w:r>
        <w:t>Evidence segment 2: In small trials of patients undergoing surgery, graduated compression stockings (GCS) reduce the risk of DVT.</w:t>
      </w:r>
    </w:p>
    <w:p>
      <w:pPr>
        <w:pStyle w:val="ListBullet"/>
      </w:pPr>
      <w:r>
        <w:t>Evidence segment 3: National stroke guidelines extrapolating from these trials recommend their use in patients with stroke despite insufficient evidence.</w:t>
      </w:r>
    </w:p>
    <w:p>
      <w:pPr>
        <w:pStyle w:val="ListBullet"/>
      </w:pPr>
      <w:r>
        <w:t>Evidence segment 4: We assessed the effectiveness of thigh-length GCS to reduce DVT after stroke.</w:t>
      </w:r>
    </w:p>
    <w:p>
      <w:pPr>
        <w:pStyle w:val="ListBullet"/>
      </w:pPr>
      <w:r>
        <w:t>Evidence segment 5: METHODS In this outcome-blinded, randomised controlled trial, 2518 patients who were admitted to hospital within 1 week of an acute stroke and who were immobile were enrolled from 64 centres in the UK, Italy, and Australia.</w:t>
      </w:r>
    </w:p>
    <w:p>
      <w:pPr>
        <w:pStyle w:val="ListBullet"/>
      </w:pPr>
      <w:r>
        <w:t>Evidence segment 6: Patients were allocated via a central randomisation system to routine care plus thigh-length GCS (n=1256) or to routine care plus avoidance of GCS (n=1262).</w:t>
      </w:r>
    </w:p>
    <w:p>
      <w:pPr>
        <w:pStyle w:val="ListBullet"/>
      </w:pPr>
      <w:r>
        <w:t>Evidence segment 7: A technician who was blinded to treatment allocation undertook compression Doppler ultrasound of both legs at about 7-10 days and, when practical, again at 25-30 days after enrolment.</w:t>
      </w:r>
    </w:p>
    <w:p>
      <w:pPr>
        <w:pStyle w:val="ListBullet"/>
      </w:pPr>
      <w:r>
        <w:t>Evidence segment 8: The primary outcome was the occurrence of symptomatic or asymptomatic DVT in the popliteal or femoral veins.</w:t>
      </w:r>
    </w:p>
    <w:p>
      <w:pPr>
        <w:pStyle w:val="ListBullet"/>
      </w:pPr>
      <w:r>
        <w:t>Evidence segment 9: Analyses were by intention to treat.</w:t>
      </w:r>
    </w:p>
    <w:p>
      <w:pPr>
        <w:pStyle w:val="ListBullet"/>
      </w:pPr>
      <w:r>
        <w:t>Evidence segment 10: This study is registered, number ISRCTN28163533.</w:t>
      </w:r>
    </w:p>
    <w:p>
      <w:pPr>
        <w:pStyle w:val="ListBullet"/>
      </w:pPr>
      <w:r>
        <w:t>Evidence segment 11: FINDINGS All patients were included in the analyses.</w:t>
      </w:r>
    </w:p>
    <w:p>
      <w:pPr>
        <w:pStyle w:val="ListBullet"/>
      </w:pPr>
      <w:r>
        <w:t>Evidence segment 12: The primary outcome occurred in 126 (10.0%) patients allocated to thigh-length GCS and in 133 (10.5%) allocated to avoid GCS, resulting in a non-significant absolute reduction in risk of 0.5% (95% CI -1.9% to 2.9%).</w:t>
      </w:r>
    </w:p>
    <w:p>
      <w:pPr>
        <w:pStyle w:val="ListBullet"/>
      </w:pPr>
      <w:r>
        <w:t>Evidence segment 13: Skin breaks, ulcers, blisters, and skin necrosis were significantly more common in patients allocated to GCS than in those allocated to avoid their use (64 [5%] vs 16 [1%]; odds ratio 4.18, 95% CI 2.40-7.27).</w:t>
      </w:r>
    </w:p>
    <w:p>
      <w:pPr>
        <w:pStyle w:val="ListBullet"/>
      </w:pPr>
      <w:r>
        <w:t>Evidence segment 14: INTERPRETATION These data do not lend support to the use of thigh-length GCS in patients admitted to hospital with acute stroke.</w:t>
      </w:r>
    </w:p>
    <w:p>
      <w:pPr>
        <w:pStyle w:val="ListBullet"/>
      </w:pPr>
      <w:r>
        <w:t>Evidence segment 15: National guidelines for stroke might need to be revised on the basis of these results.</w:t>
      </w:r>
    </w:p>
    <w:p>
      <w:pPr>
        <w:pStyle w:val="ListBullet"/>
      </w:pPr>
      <w:r>
        <w:t>Evidence segment 16: FUNDING Medical Research Council (UK), Chief Scientist Office of Scottish Government, Chest Heart and Stroke Scotland, Tyco Healthcare (Covidien) USA, and UK Stroke Research Network.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11718220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Effectiveness of thigh-length graduated compression stockings to reduce the risk of deep vein thrombosis after stroke (CLOTS trial 1): a multicentre, randomised controlled trial</dc:title>
</cp:coreProperties>
</file>