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The Utilization of Extracellular Proteins as Nutrients Is Suppressed by mTORC1</w:t>
      </w:r>
    </w:p>
    <w:p>
      <w:r>
        <w:rPr>
          <w:rFonts w:ascii="Courier New" w:hAnsi="Courier New" w:cs="Courier New" w:eastAsia="Courier New"/>
          <w:sz w:val="18"/>
        </w:rPr>
        <w:t>SCIFACT-EVIDENCE-8460275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Despite being surrounded by diverse nutrients, mammalian cells preferentially metabolize glucose and free amino acids.</w:t>
      </w:r>
    </w:p>
    <w:p>
      <w:r>
        <w:rPr>
          <w:rFonts w:ascii="Arial" w:hAnsi="Arial" w:cs="Arial" w:eastAsia="Arial"/>
          <w:sz w:val="22"/>
        </w:rPr>
        <w:t>Recently, Ras-induced macropinocytosis of extracellular proteins was shown to reduce a transformed cell's dependence on extracellular glutamine.</w:t>
      </w:r>
    </w:p>
    <w:p>
      <w:r>
        <w:rPr>
          <w:rFonts w:ascii="Arial" w:hAnsi="Arial" w:cs="Arial" w:eastAsia="Arial"/>
          <w:sz w:val="22"/>
        </w:rPr>
        <w:t>Here, we demonstrate that protein macropinocytosis can also serve as an essential amino acid source.</w:t>
      </w:r>
    </w:p>
    <w:p>
      <w:r>
        <w:rPr>
          <w:rFonts w:ascii="Arial" w:hAnsi="Arial" w:cs="Arial" w:eastAsia="Arial"/>
          <w:sz w:val="22"/>
        </w:rPr>
        <w:t>Lysosomal degradation of extracellular proteins can sustain cell survival and induce activation of mTORC1 but fails to elicit significant cell accumulation.</w:t>
      </w:r>
    </w:p>
    <w:p>
      <w:r>
        <w:rPr>
          <w:rFonts w:ascii="Arial" w:hAnsi="Arial" w:cs="Arial" w:eastAsia="Arial"/>
          <w:sz w:val="22"/>
        </w:rPr>
        <w:t>Unlike its growth-promoting activity under amino-acid-replete conditions, we discovered that mTORC1 activation suppresses proliferation when cells rely on extracellular proteins as an amino acid source.</w:t>
      </w:r>
    </w:p>
    <w:p>
      <w:r>
        <w:rPr>
          <w:rFonts w:ascii="Arial" w:hAnsi="Arial" w:cs="Arial" w:eastAsia="Arial"/>
          <w:sz w:val="22"/>
        </w:rPr>
        <w:t>Inhibiting mTORC1 results in increased catabolism of endocytosed proteins and enhances cell proliferation during nutrient-depleted conditions in vitro and within vascularly compromised tumors in vivo.</w:t>
      </w:r>
    </w:p>
    <w:p>
      <w:r>
        <w:rPr>
          <w:rFonts w:ascii="Arial" w:hAnsi="Arial" w:cs="Arial" w:eastAsia="Arial"/>
          <w:sz w:val="22"/>
        </w:rPr>
        <w:t>Thus, by preventing nutritional consumption of extracellular proteins, mTORC1 couples growth to availability of free amino acids.</w:t>
      </w:r>
    </w:p>
    <w:p>
      <w:r>
        <w:rPr>
          <w:rFonts w:ascii="Arial" w:hAnsi="Arial" w:cs="Arial" w:eastAsia="Arial"/>
          <w:sz w:val="22"/>
        </w:rPr>
        <w:t>These results may have important implications for the use of mTOR inhibitors as therapeutics.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8460275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Despite being surrounded by diverse nutrients, mammalian cells preferentially metabolize glucose and free amino acids.</w:t>
      </w:r>
    </w:p>
    <w:p>
      <w:pPr>
        <w:pStyle w:val="ListBullet"/>
      </w:pPr>
      <w:r>
        <w:t>Evidence segment 2: Recently, Ras-induced macropinocytosis of extracellular proteins was shown to reduce a transformed cell's dependence on extracellular glutamine.</w:t>
      </w:r>
    </w:p>
    <w:p>
      <w:pPr>
        <w:pStyle w:val="ListBullet"/>
      </w:pPr>
      <w:r>
        <w:t>Evidence segment 3: Here, we demonstrate that protein macropinocytosis can also serve as an essential amino acid source.</w:t>
      </w:r>
    </w:p>
    <w:p>
      <w:pPr>
        <w:pStyle w:val="ListBullet"/>
      </w:pPr>
      <w:r>
        <w:t>Evidence segment 4: Lysosomal degradation of extracellular proteins can sustain cell survival and induce activation of mTORC1 but fails to elicit significant cell accumulation.</w:t>
      </w:r>
    </w:p>
    <w:p>
      <w:pPr>
        <w:pStyle w:val="ListBullet"/>
      </w:pPr>
      <w:r>
        <w:t>Evidence segment 5: Unlike its growth-promoting activity under amino-acid-replete conditions, we discovered that mTORC1 activation suppresses proliferation when cells rely on extracellular proteins as an amino acid source.</w:t>
      </w:r>
    </w:p>
    <w:p>
      <w:pPr>
        <w:pStyle w:val="ListBullet"/>
      </w:pPr>
      <w:r>
        <w:t>Evidence segment 6: Inhibiting mTORC1 results in increased catabolism of endocytosed proteins and enhances cell proliferation during nutrient-depleted conditions in vitro and within vascularly compromised tumors in vivo.</w:t>
      </w:r>
    </w:p>
    <w:p>
      <w:pPr>
        <w:pStyle w:val="ListBullet"/>
      </w:pPr>
      <w:r>
        <w:t>Evidence segment 7: Thus, by preventing nutritional consumption of extracellular proteins, mTORC1 couples growth to availability of free amino acids.</w:t>
      </w:r>
    </w:p>
    <w:p>
      <w:pPr>
        <w:pStyle w:val="ListBullet"/>
      </w:pPr>
      <w:r>
        <w:t>Evidence segment 8: These results may have important implications for the use of mTOR inhibitors as therapeutics.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8460275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The Utilization of Extracellular Proteins as Nutrients Is Suppressed by mTORC1</dc:title>
</cp:coreProperties>
</file>