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090A" w14:textId="65A3B033" w:rsidR="00304FC9" w:rsidRPr="00304FC9" w:rsidRDefault="00304FC9" w:rsidP="00304FC9">
      <w:pPr>
        <w:pStyle w:val="Heading1"/>
      </w:pPr>
      <w:r w:rsidRPr="00304FC9">
        <w:t>Accessibility in software as a service (SaaS) contract wording</w:t>
      </w:r>
    </w:p>
    <w:p w14:paraId="373F9D46" w14:textId="77777777" w:rsidR="00304FC9" w:rsidRPr="00304FC9" w:rsidRDefault="00304FC9" w:rsidP="00304FC9">
      <w:pPr>
        <w:rPr>
          <w:b/>
          <w:bCs/>
        </w:rPr>
      </w:pPr>
    </w:p>
    <w:p w14:paraId="1E815BB3" w14:textId="52808F79" w:rsidR="00304FC9" w:rsidRDefault="00304FC9" w:rsidP="00304FC9">
      <w:r w:rsidRPr="00304FC9">
        <w:t>This contract wording has been created in collaboration with RNIB (Royal National Institute of Blind People) and several London Universities to ensure consistent world leading accessibility standards are embedded within all products or services as part of all procurement process to benefit everyone involved in its delivery. This is part of an ongoing relationship to make the UK Higher Education sector more inclusive and accessible to all.</w:t>
      </w:r>
    </w:p>
    <w:p w14:paraId="6F9980A2" w14:textId="77777777" w:rsidR="00304FC9" w:rsidRDefault="00304FC9" w:rsidP="00304FC9"/>
    <w:p w14:paraId="7154AAD6" w14:textId="0484AAAB" w:rsidR="00304FC9" w:rsidRDefault="00304FC9" w:rsidP="00304FC9">
      <w:r w:rsidRPr="00304FC9">
        <w:t>We hope that the template will be of use to others, but as with any cont</w:t>
      </w:r>
      <w:r>
        <w:t>r</w:t>
      </w:r>
      <w:r w:rsidRPr="00304FC9">
        <w:t>act, these clauses may be negotiated by both parties, and we suggest that you still seek your own legal advice before use.</w:t>
      </w:r>
    </w:p>
    <w:p w14:paraId="5D518841" w14:textId="77777777" w:rsidR="003012BE" w:rsidRDefault="003012BE" w:rsidP="00304FC9"/>
    <w:p w14:paraId="7E578D78" w14:textId="5FFB721E" w:rsidR="00381C1D" w:rsidRPr="00381C1D" w:rsidRDefault="00381C1D" w:rsidP="00381C1D">
      <w:pPr>
        <w:pStyle w:val="Heading2"/>
        <w:rPr>
          <w:sz w:val="28"/>
          <w:szCs w:val="22"/>
        </w:rPr>
      </w:pPr>
      <w:r w:rsidRPr="00381C1D">
        <w:rPr>
          <w:sz w:val="28"/>
          <w:szCs w:val="22"/>
        </w:rPr>
        <w:t>Disclaimer</w:t>
      </w:r>
    </w:p>
    <w:p w14:paraId="3F8FA41E" w14:textId="36A5369D" w:rsidR="003012BE" w:rsidRDefault="003012BE" w:rsidP="00304FC9">
      <w:r w:rsidRPr="003012BE">
        <w:t xml:space="preserve">This publication is issued as guidance only. It is not intended to provide legal or professional advice. </w:t>
      </w:r>
      <w:r>
        <w:t>All collaborators on this content accept</w:t>
      </w:r>
      <w:r w:rsidRPr="003012BE">
        <w:t xml:space="preserve"> no liability for any errors, omissions or any consequences, losses or damages arising from any use of, or reliance placed on, this publication. You need to ensure that any contractual terms are appropriate for your organisation. You should seek advice from a suitably qualified professional.</w:t>
      </w:r>
    </w:p>
    <w:p w14:paraId="034A76BF" w14:textId="77777777" w:rsidR="00381C1D" w:rsidRDefault="00381C1D" w:rsidP="00304FC9"/>
    <w:p w14:paraId="31EED71C" w14:textId="38ED0F34" w:rsidR="00381C1D" w:rsidRPr="00304FC9" w:rsidRDefault="00381C1D" w:rsidP="00381C1D">
      <w:pPr>
        <w:pStyle w:val="Heading2"/>
      </w:pPr>
      <w:r>
        <w:t>Template wording</w:t>
      </w:r>
    </w:p>
    <w:p w14:paraId="332FD8B8" w14:textId="77777777" w:rsidR="00304FC9" w:rsidRDefault="00304FC9" w:rsidP="00304FC9"/>
    <w:p w14:paraId="4D99E894" w14:textId="77777777" w:rsidR="00304FC9" w:rsidRDefault="00304FC9" w:rsidP="00304FC9">
      <w:r w:rsidRPr="00304FC9">
        <w:rPr>
          <w:b/>
          <w:bCs/>
        </w:rPr>
        <w:t>It is Agreed</w:t>
      </w:r>
      <w:r>
        <w:t xml:space="preserve"> as follows:</w:t>
      </w:r>
    </w:p>
    <w:p w14:paraId="0F164638" w14:textId="77777777" w:rsidR="00304FC9" w:rsidRDefault="00304FC9" w:rsidP="00304FC9"/>
    <w:p w14:paraId="515CCF97" w14:textId="42526451" w:rsidR="00304FC9" w:rsidRDefault="00304FC9" w:rsidP="00381C1D">
      <w:pPr>
        <w:pStyle w:val="Heading3"/>
      </w:pPr>
      <w:r w:rsidRPr="00304FC9">
        <w:t>1. Definitions and interpretation</w:t>
      </w:r>
    </w:p>
    <w:p w14:paraId="67CC133C" w14:textId="0F9340F6" w:rsidR="00B84A05" w:rsidRDefault="00304FC9" w:rsidP="00304FC9">
      <w:r>
        <w:t>In this Agreement</w:t>
      </w:r>
      <w:r w:rsidR="00EF3AC5">
        <w:t xml:space="preserve"> </w:t>
      </w:r>
      <w:r>
        <w:t>(including the Introduction) unless the context otherwise requires, the following definitions apply:</w:t>
      </w:r>
    </w:p>
    <w:p w14:paraId="182B324C" w14:textId="77777777" w:rsidR="00304FC9" w:rsidRDefault="00304FC9" w:rsidP="00304FC9"/>
    <w:tbl>
      <w:tblPr>
        <w:tblStyle w:val="TableGrid"/>
        <w:tblW w:w="0" w:type="auto"/>
        <w:tblLook w:val="04A0" w:firstRow="1" w:lastRow="0" w:firstColumn="1" w:lastColumn="0" w:noHBand="0" w:noVBand="1"/>
      </w:tblPr>
      <w:tblGrid>
        <w:gridCol w:w="1838"/>
        <w:gridCol w:w="7178"/>
      </w:tblGrid>
      <w:tr w:rsidR="00304FC9" w14:paraId="1BE716A0" w14:textId="77777777" w:rsidTr="00304FC9">
        <w:tc>
          <w:tcPr>
            <w:tcW w:w="1838" w:type="dxa"/>
            <w:shd w:val="clear" w:color="auto" w:fill="000000" w:themeFill="text1"/>
          </w:tcPr>
          <w:p w14:paraId="78FA635B" w14:textId="799F1E4D" w:rsidR="00304FC9" w:rsidRPr="00304FC9" w:rsidRDefault="00304FC9" w:rsidP="00304FC9">
            <w:pPr>
              <w:rPr>
                <w:b/>
                <w:bCs/>
              </w:rPr>
            </w:pPr>
            <w:r w:rsidRPr="00304FC9">
              <w:rPr>
                <w:b/>
                <w:bCs/>
              </w:rPr>
              <w:t>Term</w:t>
            </w:r>
          </w:p>
        </w:tc>
        <w:tc>
          <w:tcPr>
            <w:tcW w:w="7178" w:type="dxa"/>
            <w:shd w:val="clear" w:color="auto" w:fill="000000" w:themeFill="text1"/>
          </w:tcPr>
          <w:p w14:paraId="38C29551" w14:textId="736B5D5A" w:rsidR="00304FC9" w:rsidRPr="00304FC9" w:rsidRDefault="00304FC9" w:rsidP="00304FC9">
            <w:pPr>
              <w:rPr>
                <w:b/>
                <w:bCs/>
              </w:rPr>
            </w:pPr>
            <w:r w:rsidRPr="00304FC9">
              <w:rPr>
                <w:b/>
                <w:bCs/>
              </w:rPr>
              <w:t>Definitions</w:t>
            </w:r>
          </w:p>
        </w:tc>
      </w:tr>
      <w:tr w:rsidR="00304FC9" w14:paraId="42F9FE3F" w14:textId="77777777" w:rsidTr="00304FC9">
        <w:tc>
          <w:tcPr>
            <w:tcW w:w="1838" w:type="dxa"/>
          </w:tcPr>
          <w:p w14:paraId="0B5BB592" w14:textId="471716E2" w:rsidR="00304FC9" w:rsidRPr="00304FC9" w:rsidRDefault="00304FC9" w:rsidP="00304FC9">
            <w:pPr>
              <w:rPr>
                <w:b/>
                <w:bCs/>
              </w:rPr>
            </w:pPr>
            <w:r w:rsidRPr="00304FC9">
              <w:rPr>
                <w:b/>
                <w:bCs/>
              </w:rPr>
              <w:t>Accessibility Regulations</w:t>
            </w:r>
          </w:p>
        </w:tc>
        <w:tc>
          <w:tcPr>
            <w:tcW w:w="7178" w:type="dxa"/>
          </w:tcPr>
          <w:p w14:paraId="5851536A" w14:textId="6A0D527E" w:rsidR="00304FC9" w:rsidRDefault="00304FC9" w:rsidP="00304FC9">
            <w:r w:rsidRPr="00F458F6">
              <w:rPr>
                <w:color w:val="000000" w:themeColor="text1"/>
                <w:szCs w:val="24"/>
              </w:rPr>
              <w:t xml:space="preserve">means </w:t>
            </w:r>
            <w:r>
              <w:rPr>
                <w:color w:val="000000" w:themeColor="text1"/>
                <w:szCs w:val="24"/>
              </w:rPr>
              <w:t>(where applicable); the Equality Act 2010, the Public Sector Equality Duty, The Disability Discrimination Act 1995 (NI only),</w:t>
            </w:r>
            <w:r w:rsidR="00AC5967">
              <w:rPr>
                <w:color w:val="000000" w:themeColor="text1"/>
                <w:szCs w:val="24"/>
              </w:rPr>
              <w:t xml:space="preserve"> the European Web Accessibility Directive 2016/2102,</w:t>
            </w:r>
            <w:r>
              <w:rPr>
                <w:color w:val="000000" w:themeColor="text1"/>
                <w:szCs w:val="24"/>
              </w:rPr>
              <w:t xml:space="preserve"> </w:t>
            </w:r>
            <w:r w:rsidRPr="00F458F6">
              <w:rPr>
                <w:color w:val="000000" w:themeColor="text1"/>
                <w:szCs w:val="24"/>
              </w:rPr>
              <w:t>the Public Sector Bodies (Websites and Mobile Applications) (No 2) Accessibility Regulations 2018 (S.I. 2018/952)</w:t>
            </w:r>
            <w:r>
              <w:rPr>
                <w:color w:val="000000" w:themeColor="text1"/>
                <w:szCs w:val="24"/>
              </w:rPr>
              <w:t>, and the European Accessibility Act 2019 (international)</w:t>
            </w:r>
            <w:r w:rsidRPr="00F458F6">
              <w:rPr>
                <w:color w:val="000000" w:themeColor="text1"/>
                <w:szCs w:val="24"/>
              </w:rPr>
              <w:t>;</w:t>
            </w:r>
          </w:p>
        </w:tc>
      </w:tr>
      <w:tr w:rsidR="00304FC9" w14:paraId="0D0BAD23" w14:textId="77777777" w:rsidTr="00304FC9">
        <w:tc>
          <w:tcPr>
            <w:tcW w:w="1838" w:type="dxa"/>
          </w:tcPr>
          <w:p w14:paraId="0B9B9094" w14:textId="425255CF" w:rsidR="00304FC9" w:rsidRPr="00304FC9" w:rsidRDefault="00304FC9" w:rsidP="00304FC9">
            <w:pPr>
              <w:rPr>
                <w:b/>
                <w:bCs/>
              </w:rPr>
            </w:pPr>
            <w:r w:rsidRPr="00304FC9">
              <w:rPr>
                <w:b/>
                <w:bCs/>
              </w:rPr>
              <w:t>Accessibility Roadmap</w:t>
            </w:r>
          </w:p>
        </w:tc>
        <w:tc>
          <w:tcPr>
            <w:tcW w:w="7178" w:type="dxa"/>
          </w:tcPr>
          <w:p w14:paraId="6A064180" w14:textId="11F244FC" w:rsidR="00304FC9" w:rsidRDefault="00304FC9" w:rsidP="00304FC9">
            <w:r w:rsidRPr="00F458F6">
              <w:rPr>
                <w:color w:val="000000" w:themeColor="text1"/>
                <w:szCs w:val="24"/>
              </w:rPr>
              <w:t xml:space="preserve">means a document that clearly evidences the measures that the Supplier will take to comply with Clause </w:t>
            </w:r>
            <w:r w:rsidR="0060097B" w:rsidRPr="0060097B">
              <w:rPr>
                <w:b/>
                <w:bCs/>
                <w:color w:val="000000" w:themeColor="text1"/>
                <w:szCs w:val="24"/>
              </w:rPr>
              <w:t>[</w:t>
            </w:r>
            <w:r w:rsidR="004E68B2" w:rsidRPr="0060097B">
              <w:rPr>
                <w:b/>
                <w:bCs/>
                <w:color w:val="000000" w:themeColor="text1"/>
                <w:szCs w:val="24"/>
                <w:highlight w:val="yellow"/>
                <w:shd w:val="clear" w:color="auto" w:fill="E6E6E6"/>
              </w:rPr>
              <w:t>2</w:t>
            </w:r>
            <w:r w:rsidR="0060097B" w:rsidRPr="0060097B">
              <w:rPr>
                <w:b/>
                <w:bCs/>
                <w:color w:val="000000" w:themeColor="text1"/>
                <w:szCs w:val="24"/>
              </w:rPr>
              <w:t>]</w:t>
            </w:r>
            <w:r w:rsidR="0060097B">
              <w:rPr>
                <w:color w:val="000000" w:themeColor="text1"/>
                <w:szCs w:val="24"/>
              </w:rPr>
              <w:t>;</w:t>
            </w:r>
          </w:p>
        </w:tc>
      </w:tr>
      <w:tr w:rsidR="00304FC9" w14:paraId="62490363" w14:textId="77777777" w:rsidTr="00304FC9">
        <w:tc>
          <w:tcPr>
            <w:tcW w:w="1838" w:type="dxa"/>
          </w:tcPr>
          <w:p w14:paraId="13FDBED5" w14:textId="393680B6" w:rsidR="00304FC9" w:rsidRPr="00304FC9" w:rsidRDefault="00304FC9" w:rsidP="00304FC9">
            <w:pPr>
              <w:rPr>
                <w:b/>
                <w:bCs/>
              </w:rPr>
            </w:pPr>
            <w:r w:rsidRPr="00304FC9">
              <w:rPr>
                <w:b/>
                <w:bCs/>
              </w:rPr>
              <w:t>Accessibility Statement</w:t>
            </w:r>
          </w:p>
        </w:tc>
        <w:tc>
          <w:tcPr>
            <w:tcW w:w="7178" w:type="dxa"/>
          </w:tcPr>
          <w:p w14:paraId="088E9DD1" w14:textId="74E788BD" w:rsidR="00304FC9" w:rsidRDefault="00304FC9" w:rsidP="00304FC9">
            <w:r w:rsidRPr="00F458F6">
              <w:rPr>
                <w:color w:val="000000" w:themeColor="text1"/>
                <w:szCs w:val="24"/>
              </w:rPr>
              <w:t xml:space="preserve">means a detailed, </w:t>
            </w:r>
            <w:proofErr w:type="gramStart"/>
            <w:r w:rsidRPr="00F458F6">
              <w:rPr>
                <w:color w:val="000000" w:themeColor="text1"/>
                <w:szCs w:val="24"/>
              </w:rPr>
              <w:t>comprehensive</w:t>
            </w:r>
            <w:proofErr w:type="gramEnd"/>
            <w:r w:rsidRPr="00F458F6">
              <w:rPr>
                <w:color w:val="000000" w:themeColor="text1"/>
                <w:szCs w:val="24"/>
              </w:rPr>
              <w:t xml:space="preserve"> and clear statement produced by Supplier on the compliance of the SaaS Services (including its websites and mobile applications, where applicable) with all relevant laws, guidance and codes of practice relating to accessibility;</w:t>
            </w:r>
          </w:p>
        </w:tc>
      </w:tr>
      <w:tr w:rsidR="00304FC9" w14:paraId="22EDEDCF" w14:textId="77777777" w:rsidTr="00304FC9">
        <w:tc>
          <w:tcPr>
            <w:tcW w:w="1838" w:type="dxa"/>
          </w:tcPr>
          <w:p w14:paraId="2613CA1A" w14:textId="04339AD9" w:rsidR="00304FC9" w:rsidRPr="00304FC9" w:rsidRDefault="00304FC9" w:rsidP="00304FC9">
            <w:pPr>
              <w:rPr>
                <w:b/>
                <w:bCs/>
              </w:rPr>
            </w:pPr>
            <w:r w:rsidRPr="00304FC9">
              <w:rPr>
                <w:b/>
                <w:bCs/>
              </w:rPr>
              <w:lastRenderedPageBreak/>
              <w:t>Assistive Technologies</w:t>
            </w:r>
          </w:p>
        </w:tc>
        <w:tc>
          <w:tcPr>
            <w:tcW w:w="7178" w:type="dxa"/>
          </w:tcPr>
          <w:p w14:paraId="603D18D1" w14:textId="64EB7296" w:rsidR="00304FC9" w:rsidRDefault="00304FC9" w:rsidP="00304FC9">
            <w:r w:rsidRPr="2E9478C5">
              <w:rPr>
                <w:color w:val="000000" w:themeColor="text1"/>
                <w:szCs w:val="24"/>
              </w:rPr>
              <w:t>means the assistive technologies referred to in “Guidance</w:t>
            </w:r>
            <w:r>
              <w:rPr>
                <w:color w:val="000000" w:themeColor="text1"/>
                <w:szCs w:val="24"/>
              </w:rPr>
              <w:t xml:space="preserve"> </w:t>
            </w:r>
            <w:r w:rsidRPr="2E9478C5">
              <w:rPr>
                <w:color w:val="000000" w:themeColor="text1"/>
                <w:szCs w:val="24"/>
              </w:rPr>
              <w:t xml:space="preserve">Assistive Technology: definition and safe use”, which is available at </w:t>
            </w:r>
            <w:hyperlink r:id="rId7">
              <w:r w:rsidRPr="2E9478C5">
                <w:rPr>
                  <w:rStyle w:val="Hyperlink"/>
                  <w:szCs w:val="24"/>
                </w:rPr>
                <w:t>https://www.gov.uk/government/publications/assistive-technology-definition-and-safe-use</w:t>
              </w:r>
            </w:hyperlink>
            <w:r w:rsidRPr="2E9478C5">
              <w:rPr>
                <w:color w:val="000000" w:themeColor="text1"/>
                <w:szCs w:val="24"/>
              </w:rPr>
              <w:t>;</w:t>
            </w:r>
          </w:p>
        </w:tc>
      </w:tr>
      <w:tr w:rsidR="00304FC9" w14:paraId="0341C99A" w14:textId="77777777" w:rsidTr="00304FC9">
        <w:tc>
          <w:tcPr>
            <w:tcW w:w="1838" w:type="dxa"/>
          </w:tcPr>
          <w:p w14:paraId="1CC8D68C" w14:textId="7711AAC5" w:rsidR="00304FC9" w:rsidRPr="00304FC9" w:rsidRDefault="00304FC9" w:rsidP="00304FC9">
            <w:pPr>
              <w:rPr>
                <w:b/>
                <w:bCs/>
              </w:rPr>
            </w:pPr>
            <w:r w:rsidRPr="00304FC9">
              <w:rPr>
                <w:b/>
                <w:bCs/>
              </w:rPr>
              <w:t>WCAG</w:t>
            </w:r>
          </w:p>
        </w:tc>
        <w:tc>
          <w:tcPr>
            <w:tcW w:w="7178" w:type="dxa"/>
          </w:tcPr>
          <w:p w14:paraId="4DFE042F" w14:textId="77777777" w:rsidR="00304FC9" w:rsidRDefault="00304FC9" w:rsidP="00304FC9">
            <w:pPr>
              <w:rPr>
                <w:color w:val="000000" w:themeColor="text1"/>
                <w:szCs w:val="24"/>
              </w:rPr>
            </w:pPr>
            <w:r w:rsidRPr="2C75606E">
              <w:rPr>
                <w:color w:val="000000" w:themeColor="text1"/>
                <w:szCs w:val="24"/>
              </w:rPr>
              <w:t xml:space="preserve">means the </w:t>
            </w:r>
            <w:r>
              <w:rPr>
                <w:color w:val="000000" w:themeColor="text1"/>
                <w:szCs w:val="24"/>
              </w:rPr>
              <w:t xml:space="preserve">current </w:t>
            </w:r>
            <w:r w:rsidRPr="2C75606E">
              <w:rPr>
                <w:color w:val="000000" w:themeColor="text1"/>
                <w:szCs w:val="24"/>
              </w:rPr>
              <w:t xml:space="preserve">Web Content Accessibility </w:t>
            </w:r>
            <w:proofErr w:type="gramStart"/>
            <w:r w:rsidRPr="2C75606E">
              <w:rPr>
                <w:color w:val="000000" w:themeColor="text1"/>
                <w:szCs w:val="24"/>
              </w:rPr>
              <w:t>Guidelines  Level</w:t>
            </w:r>
            <w:proofErr w:type="gramEnd"/>
            <w:r w:rsidRPr="2C75606E">
              <w:rPr>
                <w:color w:val="000000" w:themeColor="text1"/>
                <w:szCs w:val="24"/>
              </w:rPr>
              <w:t xml:space="preserve"> AA published by the World Wide Web Consortium, as amended from time to time;</w:t>
            </w:r>
          </w:p>
          <w:p w14:paraId="6A63F9F5" w14:textId="77777777" w:rsidR="00EC1CD5" w:rsidRDefault="00EC1CD5" w:rsidP="00EC1CD5">
            <w:pPr>
              <w:pStyle w:val="ListParagraph"/>
              <w:numPr>
                <w:ilvl w:val="0"/>
                <w:numId w:val="12"/>
              </w:numPr>
            </w:pPr>
            <w:r>
              <w:t xml:space="preserve">documentation completed before 2024 must comply with WCAG 2.1 which is available at: </w:t>
            </w:r>
            <w:hyperlink r:id="rId8" w:history="1">
              <w:r w:rsidRPr="00B13BA6">
                <w:rPr>
                  <w:rStyle w:val="Hyperlink"/>
                </w:rPr>
                <w:t>https://www.w3.org/TR/WCAG21/</w:t>
              </w:r>
            </w:hyperlink>
            <w:r>
              <w:t>;</w:t>
            </w:r>
          </w:p>
          <w:p w14:paraId="5FDB831D" w14:textId="18792D2F" w:rsidR="00EC1CD5" w:rsidRDefault="00EC1CD5" w:rsidP="00E010DD">
            <w:pPr>
              <w:pStyle w:val="ListParagraph"/>
              <w:numPr>
                <w:ilvl w:val="0"/>
                <w:numId w:val="12"/>
              </w:numPr>
            </w:pPr>
            <w:r>
              <w:t xml:space="preserve">documentation completed from 2024 onwards must comply with WCAG 2.2 which is available at: </w:t>
            </w:r>
            <w:hyperlink r:id="rId9" w:history="1">
              <w:r w:rsidRPr="00B13BA6">
                <w:rPr>
                  <w:rStyle w:val="Hyperlink"/>
                </w:rPr>
                <w:t>https://www.w3.org/TR/WCAG22/</w:t>
              </w:r>
            </w:hyperlink>
          </w:p>
        </w:tc>
      </w:tr>
      <w:tr w:rsidR="00304FC9" w14:paraId="4FCE3216" w14:textId="77777777" w:rsidTr="00304FC9">
        <w:tc>
          <w:tcPr>
            <w:tcW w:w="1838" w:type="dxa"/>
          </w:tcPr>
          <w:p w14:paraId="0DDFD92A" w14:textId="09BD863C" w:rsidR="00304FC9" w:rsidRPr="00304FC9" w:rsidRDefault="00304FC9" w:rsidP="00304FC9">
            <w:pPr>
              <w:rPr>
                <w:b/>
                <w:bCs/>
              </w:rPr>
            </w:pPr>
            <w:r w:rsidRPr="00304FC9">
              <w:rPr>
                <w:b/>
                <w:bCs/>
              </w:rPr>
              <w:t>ATAG</w:t>
            </w:r>
          </w:p>
        </w:tc>
        <w:tc>
          <w:tcPr>
            <w:tcW w:w="7178" w:type="dxa"/>
          </w:tcPr>
          <w:p w14:paraId="5F9AC6EC" w14:textId="335B6295" w:rsidR="00304FC9" w:rsidRDefault="000C2844" w:rsidP="00304FC9">
            <w:r>
              <w:rPr>
                <w:color w:val="000000" w:themeColor="text1"/>
                <w:szCs w:val="24"/>
              </w:rPr>
              <w:t>m</w:t>
            </w:r>
            <w:r w:rsidR="00304FC9" w:rsidRPr="256D29FF">
              <w:rPr>
                <w:color w:val="000000" w:themeColor="text1"/>
                <w:szCs w:val="24"/>
              </w:rPr>
              <w:t xml:space="preserve">eans the </w:t>
            </w:r>
            <w:r w:rsidR="00EC1CD5">
              <w:rPr>
                <w:color w:val="000000" w:themeColor="text1"/>
                <w:szCs w:val="24"/>
              </w:rPr>
              <w:t xml:space="preserve">current </w:t>
            </w:r>
            <w:r w:rsidR="00304FC9" w:rsidRPr="256D29FF">
              <w:rPr>
                <w:color w:val="000000" w:themeColor="text1"/>
                <w:szCs w:val="24"/>
              </w:rPr>
              <w:t>Authoring Tool Accessibility Guidelines (ATAG)</w:t>
            </w:r>
            <w:r w:rsidR="00EC1CD5">
              <w:rPr>
                <w:color w:val="000000" w:themeColor="text1"/>
                <w:szCs w:val="24"/>
              </w:rPr>
              <w:t xml:space="preserve"> published by the World Wide Web Consortium, as amended from time to time.</w:t>
            </w:r>
          </w:p>
        </w:tc>
      </w:tr>
      <w:tr w:rsidR="00E010DD" w14:paraId="48114ECB" w14:textId="77777777" w:rsidTr="00304FC9">
        <w:tc>
          <w:tcPr>
            <w:tcW w:w="1838" w:type="dxa"/>
          </w:tcPr>
          <w:p w14:paraId="42131C9F" w14:textId="7A4638F4" w:rsidR="00E010DD" w:rsidRPr="00304FC9" w:rsidRDefault="00E010DD" w:rsidP="00304FC9">
            <w:pPr>
              <w:rPr>
                <w:b/>
                <w:bCs/>
              </w:rPr>
            </w:pPr>
            <w:r>
              <w:rPr>
                <w:b/>
                <w:bCs/>
              </w:rPr>
              <w:t>“Accessible”</w:t>
            </w:r>
          </w:p>
        </w:tc>
        <w:tc>
          <w:tcPr>
            <w:tcW w:w="7178" w:type="dxa"/>
          </w:tcPr>
          <w:p w14:paraId="723DCDE9" w14:textId="646DD5CF" w:rsidR="00E010DD" w:rsidRDefault="00E010DD" w:rsidP="00304FC9">
            <w:pPr>
              <w:rPr>
                <w:color w:val="000000" w:themeColor="text1"/>
                <w:szCs w:val="24"/>
              </w:rPr>
            </w:pPr>
            <w:r>
              <w:rPr>
                <w:color w:val="000000" w:themeColor="text1"/>
                <w:szCs w:val="24"/>
              </w:rPr>
              <w:t>means making the SaaS services usable to all including those with disabilities or who use assistive technologies, compliance with WCAG, ATAG and applicable Accessibility Regulations.</w:t>
            </w:r>
          </w:p>
        </w:tc>
      </w:tr>
      <w:tr w:rsidR="00E010DD" w14:paraId="664BDECC" w14:textId="77777777" w:rsidTr="00304FC9">
        <w:tc>
          <w:tcPr>
            <w:tcW w:w="1838" w:type="dxa"/>
          </w:tcPr>
          <w:p w14:paraId="0A2981A5" w14:textId="2E240A03" w:rsidR="00E010DD" w:rsidRPr="00304FC9" w:rsidRDefault="00E010DD" w:rsidP="00304FC9">
            <w:pPr>
              <w:rPr>
                <w:b/>
                <w:bCs/>
              </w:rPr>
            </w:pPr>
            <w:r>
              <w:rPr>
                <w:b/>
                <w:bCs/>
              </w:rPr>
              <w:t>Generated document formats</w:t>
            </w:r>
          </w:p>
        </w:tc>
        <w:tc>
          <w:tcPr>
            <w:tcW w:w="7178" w:type="dxa"/>
          </w:tcPr>
          <w:p w14:paraId="755F5BA6" w14:textId="570EB7CC" w:rsidR="00E010DD" w:rsidRDefault="009A66BA" w:rsidP="00304FC9">
            <w:pPr>
              <w:rPr>
                <w:color w:val="000000" w:themeColor="text1"/>
                <w:szCs w:val="24"/>
              </w:rPr>
            </w:pPr>
            <w:r>
              <w:rPr>
                <w:color w:val="000000" w:themeColor="text1"/>
                <w:szCs w:val="24"/>
              </w:rPr>
              <w:t xml:space="preserve">means </w:t>
            </w:r>
            <w:r w:rsidR="00E010DD">
              <w:rPr>
                <w:color w:val="000000" w:themeColor="text1"/>
                <w:szCs w:val="24"/>
              </w:rPr>
              <w:t xml:space="preserve">Documents of any format generated as part of a Service that are either written by a human operator or automatically generated based on a template. This includes Word, PowerPoint, Excel, PDF, </w:t>
            </w:r>
            <w:proofErr w:type="spellStart"/>
            <w:r w:rsidR="00E010DD">
              <w:rPr>
                <w:color w:val="000000" w:themeColor="text1"/>
                <w:szCs w:val="24"/>
              </w:rPr>
              <w:t>ePub</w:t>
            </w:r>
            <w:proofErr w:type="spellEnd"/>
            <w:r w:rsidR="00E010DD">
              <w:rPr>
                <w:color w:val="000000" w:themeColor="text1"/>
                <w:szCs w:val="24"/>
              </w:rPr>
              <w:t>, open file formats and any other “document” formats not listed here.</w:t>
            </w:r>
          </w:p>
        </w:tc>
      </w:tr>
      <w:tr w:rsidR="00E010DD" w14:paraId="10D3E039" w14:textId="77777777" w:rsidTr="00304FC9">
        <w:tc>
          <w:tcPr>
            <w:tcW w:w="1838" w:type="dxa"/>
          </w:tcPr>
          <w:p w14:paraId="49729BEC" w14:textId="7260C2CF" w:rsidR="00E010DD" w:rsidRPr="00304FC9" w:rsidRDefault="00E010DD" w:rsidP="00304FC9">
            <w:pPr>
              <w:rPr>
                <w:b/>
                <w:bCs/>
              </w:rPr>
            </w:pPr>
            <w:r w:rsidRPr="00A102E0">
              <w:rPr>
                <w:b/>
                <w:bCs/>
              </w:rPr>
              <w:t>Software as a Service</w:t>
            </w:r>
            <w:r w:rsidR="00A102E0" w:rsidRPr="00A102E0">
              <w:rPr>
                <w:b/>
                <w:bCs/>
              </w:rPr>
              <w:t xml:space="preserve"> (SaaS)</w:t>
            </w:r>
          </w:p>
        </w:tc>
        <w:tc>
          <w:tcPr>
            <w:tcW w:w="7178" w:type="dxa"/>
          </w:tcPr>
          <w:p w14:paraId="4CD48A8B" w14:textId="45E52D98" w:rsidR="00E010DD" w:rsidRDefault="00A102E0" w:rsidP="00304FC9">
            <w:pPr>
              <w:rPr>
                <w:color w:val="000000" w:themeColor="text1"/>
                <w:szCs w:val="24"/>
              </w:rPr>
            </w:pPr>
            <w:r w:rsidRPr="00A102E0">
              <w:rPr>
                <w:color w:val="000000" w:themeColor="text1"/>
                <w:szCs w:val="24"/>
              </w:rPr>
              <w:t>a method of software delivery and licensing in which software is accessed online via a subscription, rather than bought and installed on individual computers.</w:t>
            </w:r>
          </w:p>
        </w:tc>
      </w:tr>
    </w:tbl>
    <w:p w14:paraId="56382745" w14:textId="77777777" w:rsidR="005C27B6" w:rsidRDefault="005C27B6" w:rsidP="005C27B6"/>
    <w:p w14:paraId="2479FAB7" w14:textId="7345C234" w:rsidR="00304FC9" w:rsidRDefault="00304FC9" w:rsidP="00381C1D">
      <w:pPr>
        <w:pStyle w:val="Heading3"/>
      </w:pPr>
      <w:r>
        <w:t>2. Accessibility</w:t>
      </w:r>
    </w:p>
    <w:p w14:paraId="7694091B" w14:textId="7AFA0ABE" w:rsidR="00304FC9" w:rsidRDefault="00304FC9" w:rsidP="00304FC9">
      <w:r w:rsidRPr="00304FC9">
        <w:rPr>
          <w:b/>
          <w:bCs/>
        </w:rPr>
        <w:t>2.1</w:t>
      </w:r>
      <w:r>
        <w:t xml:space="preserve"> </w:t>
      </w:r>
      <w:r w:rsidR="0060097B" w:rsidRPr="0060097B">
        <w:rPr>
          <w:b/>
          <w:bCs/>
        </w:rPr>
        <w:t>[</w:t>
      </w:r>
      <w:r w:rsidR="0060097B" w:rsidRPr="0060097B">
        <w:rPr>
          <w:b/>
          <w:bCs/>
          <w:highlight w:val="yellow"/>
        </w:rPr>
        <w:t>The S</w:t>
      </w:r>
      <w:r w:rsidRPr="0060097B">
        <w:rPr>
          <w:b/>
          <w:bCs/>
          <w:highlight w:val="yellow"/>
        </w:rPr>
        <w:t>upplier</w:t>
      </w:r>
      <w:r w:rsidR="0060097B" w:rsidRPr="0060097B">
        <w:rPr>
          <w:b/>
          <w:bCs/>
        </w:rPr>
        <w:t>]</w:t>
      </w:r>
      <w:r>
        <w:t xml:space="preserve"> shall: </w:t>
      </w:r>
    </w:p>
    <w:p w14:paraId="282E4DB7" w14:textId="3843C079" w:rsidR="00304FC9" w:rsidRDefault="00304FC9" w:rsidP="00304FC9">
      <w:pPr>
        <w:pStyle w:val="ListParagraph"/>
        <w:numPr>
          <w:ilvl w:val="0"/>
          <w:numId w:val="1"/>
        </w:numPr>
      </w:pPr>
      <w:r>
        <w:t>ensure the SaaS Services strictly conform with the requirements of the WCAG</w:t>
      </w:r>
      <w:r w:rsidR="00EC1CD5">
        <w:t>, the ATAG</w:t>
      </w:r>
      <w:r>
        <w:t xml:space="preserve"> and applicable Accessibility </w:t>
      </w:r>
      <w:proofErr w:type="gramStart"/>
      <w:r>
        <w:t>Regulations;</w:t>
      </w:r>
      <w:proofErr w:type="gramEnd"/>
    </w:p>
    <w:p w14:paraId="13683788" w14:textId="6778FE53" w:rsidR="00304FC9" w:rsidRDefault="00304FC9" w:rsidP="00304FC9">
      <w:pPr>
        <w:pStyle w:val="ListParagraph"/>
        <w:numPr>
          <w:ilvl w:val="0"/>
          <w:numId w:val="1"/>
        </w:numPr>
      </w:pPr>
      <w:r>
        <w:t xml:space="preserve">Where not compliant produce an Accessibility Roadmap for </w:t>
      </w:r>
      <w:r w:rsidR="0060097B" w:rsidRPr="0060097B">
        <w:rPr>
          <w:b/>
          <w:bCs/>
        </w:rPr>
        <w:t>[</w:t>
      </w:r>
      <w:r w:rsidR="00DF10F6">
        <w:rPr>
          <w:b/>
          <w:bCs/>
          <w:highlight w:val="yellow"/>
        </w:rPr>
        <w:t>T</w:t>
      </w:r>
      <w:r w:rsidR="0060097B">
        <w:rPr>
          <w:b/>
          <w:bCs/>
          <w:highlight w:val="yellow"/>
        </w:rPr>
        <w:t>he</w:t>
      </w:r>
      <w:r w:rsidR="00DF10F6">
        <w:rPr>
          <w:b/>
          <w:bCs/>
          <w:highlight w:val="yellow"/>
        </w:rPr>
        <w:t xml:space="preserve"> C</w:t>
      </w:r>
      <w:r w:rsidR="0060097B">
        <w:rPr>
          <w:b/>
          <w:bCs/>
          <w:highlight w:val="yellow"/>
        </w:rPr>
        <w:t>ustomer’</w:t>
      </w:r>
      <w:r w:rsidRPr="0060097B">
        <w:rPr>
          <w:b/>
          <w:bCs/>
          <w:highlight w:val="yellow"/>
        </w:rPr>
        <w:t>s</w:t>
      </w:r>
      <w:r w:rsidR="0060097B">
        <w:rPr>
          <w:b/>
          <w:bCs/>
        </w:rPr>
        <w:t>]</w:t>
      </w:r>
      <w:r>
        <w:t xml:space="preserve"> approval within </w:t>
      </w:r>
      <w:r w:rsidR="000C2844" w:rsidRPr="0060097B">
        <w:rPr>
          <w:b/>
          <w:bCs/>
        </w:rPr>
        <w:t>[</w:t>
      </w:r>
      <w:r w:rsidRPr="0060097B">
        <w:rPr>
          <w:b/>
          <w:bCs/>
          <w:highlight w:val="yellow"/>
        </w:rPr>
        <w:t>15</w:t>
      </w:r>
      <w:r w:rsidR="000C2844" w:rsidRPr="0060097B">
        <w:rPr>
          <w:b/>
          <w:bCs/>
        </w:rPr>
        <w:t>]</w:t>
      </w:r>
      <w:r>
        <w:t xml:space="preserve"> Business Days of the Commencement </w:t>
      </w:r>
      <w:proofErr w:type="gramStart"/>
      <w:r>
        <w:t>Date;</w:t>
      </w:r>
      <w:proofErr w:type="gramEnd"/>
    </w:p>
    <w:p w14:paraId="20270BEA" w14:textId="55A148A1" w:rsidR="00304FC9" w:rsidRDefault="00304FC9" w:rsidP="00304FC9">
      <w:pPr>
        <w:pStyle w:val="ListParagraph"/>
        <w:numPr>
          <w:ilvl w:val="0"/>
          <w:numId w:val="1"/>
        </w:numPr>
      </w:pPr>
      <w:r>
        <w:t xml:space="preserve">subject to </w:t>
      </w:r>
      <w:r w:rsidR="0060097B" w:rsidRPr="0060097B">
        <w:rPr>
          <w:b/>
          <w:bCs/>
        </w:rPr>
        <w:t>[</w:t>
      </w:r>
      <w:r w:rsidR="0060097B">
        <w:rPr>
          <w:b/>
          <w:bCs/>
          <w:highlight w:val="yellow"/>
        </w:rPr>
        <w:t>The Customer’</w:t>
      </w:r>
      <w:r w:rsidR="0060097B" w:rsidRPr="0060097B">
        <w:rPr>
          <w:b/>
          <w:bCs/>
          <w:highlight w:val="yellow"/>
        </w:rPr>
        <w:t>s</w:t>
      </w:r>
      <w:r w:rsidR="0060097B" w:rsidRPr="0060097B">
        <w:rPr>
          <w:b/>
          <w:bCs/>
        </w:rPr>
        <w:t>]</w:t>
      </w:r>
      <w:r>
        <w:t xml:space="preserve"> approval, promptly implement and comply with the Accessibility </w:t>
      </w:r>
      <w:proofErr w:type="gramStart"/>
      <w:r>
        <w:t>Roadmap;</w:t>
      </w:r>
      <w:proofErr w:type="gramEnd"/>
    </w:p>
    <w:p w14:paraId="1500C9A1" w14:textId="540103A7" w:rsidR="00304FC9" w:rsidRDefault="00304FC9" w:rsidP="00304FC9">
      <w:pPr>
        <w:pStyle w:val="ListParagraph"/>
        <w:numPr>
          <w:ilvl w:val="0"/>
          <w:numId w:val="1"/>
        </w:numPr>
      </w:pPr>
      <w:r>
        <w:t xml:space="preserve">comply with </w:t>
      </w:r>
      <w:r w:rsidR="000C2844">
        <w:t>applicable</w:t>
      </w:r>
      <w:r>
        <w:t xml:space="preserve"> Accessibility </w:t>
      </w:r>
      <w:proofErr w:type="gramStart"/>
      <w:r>
        <w:t>Regulations;</w:t>
      </w:r>
      <w:proofErr w:type="gramEnd"/>
    </w:p>
    <w:p w14:paraId="50D8F42B" w14:textId="1A5B6AF3" w:rsidR="00304FC9" w:rsidRDefault="00304FC9" w:rsidP="00304FC9">
      <w:pPr>
        <w:pStyle w:val="ListParagraph"/>
        <w:numPr>
          <w:ilvl w:val="0"/>
          <w:numId w:val="1"/>
        </w:numPr>
      </w:pPr>
      <w:r>
        <w:t xml:space="preserve">ensure that the entirety of the SaaS Services </w:t>
      </w:r>
      <w:proofErr w:type="gramStart"/>
      <w:r>
        <w:t>are</w:t>
      </w:r>
      <w:proofErr w:type="gramEnd"/>
      <w:r>
        <w:t xml:space="preserve"> accessible, including ensuring that the SaaS Services encompasses all components of the digital or other system for use by</w:t>
      </w:r>
      <w:r w:rsidR="000C2844">
        <w:t xml:space="preserve"> </w:t>
      </w:r>
      <w:r w:rsidR="0060097B" w:rsidRPr="0060097B">
        <w:rPr>
          <w:b/>
          <w:bCs/>
        </w:rPr>
        <w:t>[</w:t>
      </w:r>
      <w:r w:rsidR="0060097B">
        <w:rPr>
          <w:b/>
          <w:bCs/>
          <w:highlight w:val="yellow"/>
        </w:rPr>
        <w:t>The Customer</w:t>
      </w:r>
      <w:r w:rsidR="0060097B">
        <w:rPr>
          <w:b/>
          <w:bCs/>
        </w:rPr>
        <w:t>]</w:t>
      </w:r>
      <w:r>
        <w:t>, including the following:</w:t>
      </w:r>
    </w:p>
    <w:p w14:paraId="48441137" w14:textId="77777777" w:rsidR="00304FC9" w:rsidRDefault="00304FC9" w:rsidP="00304FC9">
      <w:pPr>
        <w:pStyle w:val="ListParagraph"/>
        <w:numPr>
          <w:ilvl w:val="1"/>
          <w:numId w:val="3"/>
        </w:numPr>
      </w:pPr>
      <w:r>
        <w:t xml:space="preserve">external facing </w:t>
      </w:r>
      <w:proofErr w:type="gramStart"/>
      <w:r>
        <w:t>screens;</w:t>
      </w:r>
      <w:proofErr w:type="gramEnd"/>
    </w:p>
    <w:p w14:paraId="3591BFFE" w14:textId="77777777" w:rsidR="00304FC9" w:rsidRDefault="00304FC9" w:rsidP="00304FC9">
      <w:pPr>
        <w:pStyle w:val="ListParagraph"/>
        <w:numPr>
          <w:ilvl w:val="1"/>
          <w:numId w:val="3"/>
        </w:numPr>
      </w:pPr>
      <w:r>
        <w:t xml:space="preserve">internal facing </w:t>
      </w:r>
      <w:proofErr w:type="gramStart"/>
      <w:r>
        <w:t>screens;</w:t>
      </w:r>
      <w:proofErr w:type="gramEnd"/>
    </w:p>
    <w:p w14:paraId="0BA98902" w14:textId="77777777" w:rsidR="00304FC9" w:rsidRDefault="00304FC9" w:rsidP="00304FC9">
      <w:pPr>
        <w:pStyle w:val="ListParagraph"/>
        <w:numPr>
          <w:ilvl w:val="1"/>
          <w:numId w:val="3"/>
        </w:numPr>
      </w:pPr>
      <w:r>
        <w:t xml:space="preserve">administration facing </w:t>
      </w:r>
      <w:proofErr w:type="gramStart"/>
      <w:r>
        <w:t>screens;</w:t>
      </w:r>
      <w:proofErr w:type="gramEnd"/>
    </w:p>
    <w:p w14:paraId="67954D56" w14:textId="77777777" w:rsidR="00304FC9" w:rsidRDefault="00304FC9" w:rsidP="00304FC9">
      <w:pPr>
        <w:pStyle w:val="ListParagraph"/>
        <w:numPr>
          <w:ilvl w:val="1"/>
          <w:numId w:val="3"/>
        </w:numPr>
      </w:pPr>
      <w:r>
        <w:t xml:space="preserve">password verification </w:t>
      </w:r>
      <w:proofErr w:type="gramStart"/>
      <w:r>
        <w:t>systems;</w:t>
      </w:r>
      <w:proofErr w:type="gramEnd"/>
    </w:p>
    <w:p w14:paraId="75E55738" w14:textId="77777777" w:rsidR="00304FC9" w:rsidRDefault="00304FC9" w:rsidP="00304FC9">
      <w:pPr>
        <w:pStyle w:val="ListParagraph"/>
        <w:numPr>
          <w:ilvl w:val="1"/>
          <w:numId w:val="3"/>
        </w:numPr>
      </w:pPr>
      <w:r>
        <w:t>authentication processes; and</w:t>
      </w:r>
    </w:p>
    <w:p w14:paraId="7AF18A23" w14:textId="2CDAE241" w:rsidR="00304FC9" w:rsidRDefault="00304FC9" w:rsidP="00304FC9">
      <w:pPr>
        <w:pStyle w:val="ListParagraph"/>
        <w:numPr>
          <w:ilvl w:val="1"/>
          <w:numId w:val="3"/>
        </w:numPr>
      </w:pPr>
      <w:r>
        <w:lastRenderedPageBreak/>
        <w:t>all communications, including emails,</w:t>
      </w:r>
      <w:r w:rsidR="000C2844">
        <w:t xml:space="preserve"> generated document formats,</w:t>
      </w:r>
      <w:r>
        <w:t xml:space="preserve"> confirmation user action, receipt of acknowledgment, requests, additional correspondence, requests for further information, and use of third-party plugins. </w:t>
      </w:r>
    </w:p>
    <w:p w14:paraId="087661AF" w14:textId="77777777" w:rsidR="00304FC9" w:rsidRDefault="00304FC9" w:rsidP="00304FC9"/>
    <w:p w14:paraId="1F4D6BC9" w14:textId="570429B0" w:rsidR="00304FC9" w:rsidRDefault="00304FC9" w:rsidP="00304FC9">
      <w:r w:rsidRPr="00304FC9">
        <w:rPr>
          <w:b/>
          <w:bCs/>
        </w:rPr>
        <w:t>2.2</w:t>
      </w:r>
      <w:r>
        <w:t xml:space="preserve"> </w:t>
      </w:r>
      <w:r w:rsidR="0060097B" w:rsidRPr="0060097B">
        <w:rPr>
          <w:b/>
          <w:bCs/>
        </w:rPr>
        <w:t>[</w:t>
      </w:r>
      <w:r w:rsidR="0060097B" w:rsidRPr="0060097B">
        <w:rPr>
          <w:b/>
          <w:bCs/>
          <w:highlight w:val="yellow"/>
        </w:rPr>
        <w:t>The Supplier</w:t>
      </w:r>
      <w:r w:rsidR="0060097B" w:rsidRPr="0060097B">
        <w:rPr>
          <w:b/>
          <w:bCs/>
        </w:rPr>
        <w:t>]</w:t>
      </w:r>
      <w:r>
        <w:t xml:space="preserve"> acknowledges and agrees that </w:t>
      </w:r>
      <w:r w:rsidR="0060097B" w:rsidRPr="0060097B">
        <w:rPr>
          <w:b/>
          <w:bCs/>
        </w:rPr>
        <w:t>[</w:t>
      </w:r>
      <w:r w:rsidR="0060097B">
        <w:rPr>
          <w:b/>
          <w:bCs/>
          <w:highlight w:val="yellow"/>
        </w:rPr>
        <w:t>The Customer’</w:t>
      </w:r>
      <w:r w:rsidR="0060097B" w:rsidRPr="0060097B">
        <w:rPr>
          <w:b/>
          <w:bCs/>
          <w:highlight w:val="yellow"/>
        </w:rPr>
        <w:t>s</w:t>
      </w:r>
      <w:r w:rsidR="0060097B" w:rsidRPr="0060097B">
        <w:rPr>
          <w:b/>
          <w:bCs/>
        </w:rPr>
        <w:t>]</w:t>
      </w:r>
      <w:r>
        <w:t xml:space="preserve"> approval of the Accessibility Roadmap shall not act as an endorsement of the Accessibility Roadmap and shall not relieve </w:t>
      </w:r>
      <w:r w:rsidR="0060097B" w:rsidRPr="0060097B">
        <w:rPr>
          <w:b/>
          <w:bCs/>
        </w:rPr>
        <w:t>[</w:t>
      </w:r>
      <w:r w:rsidR="0060097B" w:rsidRPr="0060097B">
        <w:rPr>
          <w:b/>
          <w:bCs/>
          <w:highlight w:val="yellow"/>
        </w:rPr>
        <w:t>The Supplier</w:t>
      </w:r>
      <w:r w:rsidR="0060097B" w:rsidRPr="0060097B">
        <w:rPr>
          <w:b/>
          <w:bCs/>
        </w:rPr>
        <w:t>]</w:t>
      </w:r>
      <w:r>
        <w:t xml:space="preserve"> of its responsibility for ensuring that the SaaS Services are provided to the standard required by this Clause.</w:t>
      </w:r>
    </w:p>
    <w:p w14:paraId="67CD2EB5" w14:textId="77777777" w:rsidR="00304FC9" w:rsidRDefault="00304FC9" w:rsidP="00304FC9"/>
    <w:p w14:paraId="782CC4AC" w14:textId="7E0CCE6D" w:rsidR="00304FC9" w:rsidRDefault="00304FC9" w:rsidP="00304FC9">
      <w:r w:rsidRPr="00304FC9">
        <w:rPr>
          <w:b/>
          <w:bCs/>
        </w:rPr>
        <w:t>2.3</w:t>
      </w:r>
      <w:r>
        <w:t xml:space="preserve"> Upon request by </w:t>
      </w:r>
      <w:r w:rsidR="0060097B" w:rsidRPr="0060097B">
        <w:rPr>
          <w:b/>
          <w:bCs/>
        </w:rPr>
        <w:t>[</w:t>
      </w:r>
      <w:r w:rsidR="0060097B">
        <w:rPr>
          <w:b/>
          <w:bCs/>
          <w:highlight w:val="yellow"/>
        </w:rPr>
        <w:t>The Customer</w:t>
      </w:r>
      <w:r w:rsidR="0060097B">
        <w:rPr>
          <w:b/>
          <w:bCs/>
        </w:rPr>
        <w:t>]</w:t>
      </w:r>
      <w:r>
        <w:t xml:space="preserve">, </w:t>
      </w:r>
      <w:r w:rsidR="0060097B" w:rsidRPr="0060097B">
        <w:rPr>
          <w:b/>
          <w:bCs/>
        </w:rPr>
        <w:t>[</w:t>
      </w:r>
      <w:r w:rsidR="0060097B" w:rsidRPr="0060097B">
        <w:rPr>
          <w:b/>
          <w:bCs/>
          <w:highlight w:val="yellow"/>
        </w:rPr>
        <w:t>The Supplier</w:t>
      </w:r>
      <w:r w:rsidR="0060097B" w:rsidRPr="0060097B">
        <w:rPr>
          <w:b/>
          <w:bCs/>
        </w:rPr>
        <w:t>]</w:t>
      </w:r>
      <w:r>
        <w:t xml:space="preserve"> shall provide </w:t>
      </w:r>
      <w:r w:rsidR="0060097B" w:rsidRPr="0060097B">
        <w:rPr>
          <w:b/>
          <w:bCs/>
        </w:rPr>
        <w:t>[</w:t>
      </w:r>
      <w:r w:rsidR="0060097B">
        <w:rPr>
          <w:b/>
          <w:bCs/>
          <w:highlight w:val="yellow"/>
        </w:rPr>
        <w:t>The Customer</w:t>
      </w:r>
      <w:r w:rsidR="0060097B">
        <w:rPr>
          <w:b/>
          <w:bCs/>
        </w:rPr>
        <w:t>]</w:t>
      </w:r>
      <w:r w:rsidR="0060097B">
        <w:rPr>
          <w:b/>
          <w:bCs/>
        </w:rPr>
        <w:t xml:space="preserve"> </w:t>
      </w:r>
      <w:r>
        <w:t xml:space="preserve">with information for </w:t>
      </w:r>
      <w:r w:rsidR="0060097B" w:rsidRPr="0060097B">
        <w:rPr>
          <w:b/>
          <w:bCs/>
        </w:rPr>
        <w:t>[</w:t>
      </w:r>
      <w:r w:rsidR="0060097B">
        <w:rPr>
          <w:b/>
          <w:bCs/>
          <w:highlight w:val="yellow"/>
        </w:rPr>
        <w:t>The Customer</w:t>
      </w:r>
      <w:r w:rsidR="0060097B">
        <w:rPr>
          <w:b/>
          <w:bCs/>
        </w:rPr>
        <w:t>]</w:t>
      </w:r>
      <w:r>
        <w:t xml:space="preserve"> to:</w:t>
      </w:r>
    </w:p>
    <w:p w14:paraId="688205B3" w14:textId="170D16FF" w:rsidR="00304FC9" w:rsidRDefault="00304FC9" w:rsidP="000C2844">
      <w:pPr>
        <w:pStyle w:val="ListParagraph"/>
        <w:numPr>
          <w:ilvl w:val="0"/>
          <w:numId w:val="11"/>
        </w:numPr>
      </w:pPr>
      <w:r>
        <w:t xml:space="preserve">assess whether </w:t>
      </w:r>
      <w:r w:rsidR="0060097B" w:rsidRPr="0060097B">
        <w:rPr>
          <w:b/>
          <w:bCs/>
        </w:rPr>
        <w:t>[</w:t>
      </w:r>
      <w:r w:rsidR="0060097B" w:rsidRPr="0060097B">
        <w:rPr>
          <w:b/>
          <w:bCs/>
          <w:highlight w:val="yellow"/>
        </w:rPr>
        <w:t>The Supplier</w:t>
      </w:r>
      <w:r w:rsidR="0060097B" w:rsidRPr="0060097B">
        <w:rPr>
          <w:b/>
          <w:bCs/>
        </w:rPr>
        <w:t>]</w:t>
      </w:r>
      <w:r>
        <w:t xml:space="preserve"> has complied with this </w:t>
      </w:r>
      <w:proofErr w:type="gramStart"/>
      <w:r>
        <w:t>Clause;</w:t>
      </w:r>
      <w:proofErr w:type="gramEnd"/>
      <w:r>
        <w:t xml:space="preserve">  </w:t>
      </w:r>
    </w:p>
    <w:p w14:paraId="7F1477DB" w14:textId="77777777" w:rsidR="008E3F5C" w:rsidRDefault="00304FC9" w:rsidP="008E3F5C">
      <w:pPr>
        <w:pStyle w:val="ListParagraph"/>
        <w:numPr>
          <w:ilvl w:val="0"/>
          <w:numId w:val="11"/>
        </w:numPr>
      </w:pPr>
      <w:r>
        <w:t xml:space="preserve">produce an Accessibility </w:t>
      </w:r>
      <w:proofErr w:type="gramStart"/>
      <w:r>
        <w:t>Statement;</w:t>
      </w:r>
      <w:proofErr w:type="gramEnd"/>
    </w:p>
    <w:p w14:paraId="4F186C2E" w14:textId="77777777" w:rsidR="008E3F5C" w:rsidRDefault="00304FC9" w:rsidP="008E3F5C">
      <w:pPr>
        <w:pStyle w:val="ListParagraph"/>
        <w:numPr>
          <w:ilvl w:val="0"/>
          <w:numId w:val="11"/>
        </w:numPr>
      </w:pPr>
      <w:r>
        <w:t xml:space="preserve">conduct an assessment to determine whether compliance with this Clause would impose a disproportionate burden on </w:t>
      </w:r>
      <w:r w:rsidR="0060097B" w:rsidRPr="008E3F5C">
        <w:rPr>
          <w:b/>
          <w:bCs/>
        </w:rPr>
        <w:t>[</w:t>
      </w:r>
      <w:r w:rsidR="0060097B" w:rsidRPr="008E3F5C">
        <w:rPr>
          <w:b/>
          <w:bCs/>
          <w:highlight w:val="yellow"/>
        </w:rPr>
        <w:t>The Customer</w:t>
      </w:r>
      <w:r w:rsidR="0060097B" w:rsidRPr="008E3F5C">
        <w:rPr>
          <w:b/>
          <w:bCs/>
        </w:rPr>
        <w:t>]</w:t>
      </w:r>
      <w:r w:rsidR="0060097B" w:rsidRPr="008E3F5C">
        <w:rPr>
          <w:b/>
          <w:bCs/>
        </w:rPr>
        <w:t xml:space="preserve"> </w:t>
      </w:r>
      <w:r>
        <w:t xml:space="preserve">in accordance with </w:t>
      </w:r>
      <w:r w:rsidR="000C2844">
        <w:t>applicable</w:t>
      </w:r>
      <w:r>
        <w:t xml:space="preserve"> Accessibility Regulations; and/or</w:t>
      </w:r>
    </w:p>
    <w:p w14:paraId="0CFF82A1" w14:textId="144C52FD" w:rsidR="00304FC9" w:rsidRDefault="00304FC9" w:rsidP="008E3F5C">
      <w:pPr>
        <w:pStyle w:val="ListParagraph"/>
        <w:numPr>
          <w:ilvl w:val="0"/>
          <w:numId w:val="11"/>
        </w:numPr>
      </w:pPr>
      <w:r>
        <w:t xml:space="preserve">demonstrate </w:t>
      </w:r>
      <w:r w:rsidR="0060097B" w:rsidRPr="008E3F5C">
        <w:rPr>
          <w:b/>
          <w:bCs/>
        </w:rPr>
        <w:t>[</w:t>
      </w:r>
      <w:r w:rsidR="0060097B" w:rsidRPr="008E3F5C">
        <w:rPr>
          <w:b/>
          <w:bCs/>
          <w:highlight w:val="yellow"/>
        </w:rPr>
        <w:t>The Customer’s</w:t>
      </w:r>
      <w:r w:rsidR="0060097B" w:rsidRPr="008E3F5C">
        <w:rPr>
          <w:b/>
          <w:bCs/>
        </w:rPr>
        <w:t>]</w:t>
      </w:r>
      <w:r>
        <w:t xml:space="preserve"> compliance with the Accessibility Regulations to the Minister for the Cabinet Office.</w:t>
      </w:r>
    </w:p>
    <w:p w14:paraId="12308994" w14:textId="77777777" w:rsidR="00304FC9" w:rsidRDefault="00304FC9" w:rsidP="00304FC9"/>
    <w:p w14:paraId="41431409" w14:textId="428A2B6D" w:rsidR="00304FC9" w:rsidRDefault="00304FC9" w:rsidP="00304FC9">
      <w:r w:rsidRPr="00304FC9">
        <w:rPr>
          <w:b/>
          <w:bCs/>
        </w:rPr>
        <w:t>2.4</w:t>
      </w:r>
      <w:r>
        <w:t xml:space="preserve"> </w:t>
      </w:r>
      <w:r w:rsidR="0060097B" w:rsidRPr="0060097B">
        <w:rPr>
          <w:b/>
          <w:bCs/>
        </w:rPr>
        <w:t>[</w:t>
      </w:r>
      <w:r w:rsidR="0060097B" w:rsidRPr="0060097B">
        <w:rPr>
          <w:b/>
          <w:bCs/>
          <w:highlight w:val="yellow"/>
        </w:rPr>
        <w:t>The Supplier</w:t>
      </w:r>
      <w:r w:rsidR="0060097B" w:rsidRPr="0060097B">
        <w:rPr>
          <w:b/>
          <w:bCs/>
        </w:rPr>
        <w:t>]</w:t>
      </w:r>
      <w:r w:rsidR="0060097B">
        <w:rPr>
          <w:b/>
          <w:bCs/>
        </w:rPr>
        <w:t xml:space="preserve"> </w:t>
      </w:r>
      <w:r>
        <w:t>shall incur all costs and expenses in complying with the Accessibility Regulations, including any modification of all digital or other systems and/or all components of digital or other systems which form part of the SaaS Services, to ensure such compliance.</w:t>
      </w:r>
    </w:p>
    <w:p w14:paraId="10A122E2" w14:textId="77777777" w:rsidR="00304FC9" w:rsidRDefault="00304FC9" w:rsidP="00304FC9"/>
    <w:p w14:paraId="456463ED" w14:textId="4B0ECB34" w:rsidR="00304FC9" w:rsidRDefault="00304FC9" w:rsidP="00304FC9">
      <w:r w:rsidRPr="00304FC9">
        <w:rPr>
          <w:b/>
          <w:bCs/>
        </w:rPr>
        <w:t>2.5</w:t>
      </w:r>
      <w:r>
        <w:t xml:space="preserve"> Subject to </w:t>
      </w:r>
      <w:r w:rsidR="0060097B" w:rsidRPr="0060097B">
        <w:rPr>
          <w:b/>
          <w:bCs/>
        </w:rPr>
        <w:t>[</w:t>
      </w:r>
      <w:r w:rsidR="0060097B">
        <w:rPr>
          <w:b/>
          <w:bCs/>
          <w:highlight w:val="yellow"/>
        </w:rPr>
        <w:t>The Customer</w:t>
      </w:r>
      <w:r w:rsidR="0060097B">
        <w:rPr>
          <w:b/>
          <w:bCs/>
        </w:rPr>
        <w:t>]</w:t>
      </w:r>
      <w:r w:rsidR="0060097B">
        <w:rPr>
          <w:b/>
          <w:bCs/>
        </w:rPr>
        <w:t xml:space="preserve"> </w:t>
      </w:r>
      <w:r>
        <w:t xml:space="preserve">notifying </w:t>
      </w:r>
      <w:r w:rsidR="0060097B" w:rsidRPr="0060097B">
        <w:rPr>
          <w:b/>
          <w:bCs/>
        </w:rPr>
        <w:t>[</w:t>
      </w:r>
      <w:r w:rsidR="0060097B" w:rsidRPr="0060097B">
        <w:rPr>
          <w:b/>
          <w:bCs/>
          <w:highlight w:val="yellow"/>
        </w:rPr>
        <w:t>The Supplier</w:t>
      </w:r>
      <w:r w:rsidR="0060097B" w:rsidRPr="0060097B">
        <w:rPr>
          <w:b/>
          <w:bCs/>
        </w:rPr>
        <w:t>]</w:t>
      </w:r>
      <w:r>
        <w:t xml:space="preserve"> that it has breached any of its obligations in this Clause (Notice of Default), </w:t>
      </w:r>
      <w:r w:rsidR="0060097B" w:rsidRPr="0060097B">
        <w:rPr>
          <w:b/>
          <w:bCs/>
        </w:rPr>
        <w:t>[</w:t>
      </w:r>
      <w:r w:rsidR="0060097B" w:rsidRPr="0060097B">
        <w:rPr>
          <w:b/>
          <w:bCs/>
          <w:highlight w:val="yellow"/>
        </w:rPr>
        <w:t>The Supplier</w:t>
      </w:r>
      <w:r w:rsidR="0060097B" w:rsidRPr="0060097B">
        <w:rPr>
          <w:b/>
          <w:bCs/>
        </w:rPr>
        <w:t>]</w:t>
      </w:r>
      <w:r w:rsidR="0060097B">
        <w:rPr>
          <w:b/>
          <w:bCs/>
        </w:rPr>
        <w:t xml:space="preserve"> </w:t>
      </w:r>
      <w:r>
        <w:t xml:space="preserve">shall (without prejudice to </w:t>
      </w:r>
      <w:r w:rsidR="0060097B" w:rsidRPr="0060097B">
        <w:rPr>
          <w:b/>
          <w:bCs/>
        </w:rPr>
        <w:t>[</w:t>
      </w:r>
      <w:r w:rsidR="0060097B">
        <w:rPr>
          <w:b/>
          <w:bCs/>
          <w:highlight w:val="yellow"/>
        </w:rPr>
        <w:t>The Customer’</w:t>
      </w:r>
      <w:r w:rsidR="0060097B" w:rsidRPr="0060097B">
        <w:rPr>
          <w:b/>
          <w:bCs/>
          <w:highlight w:val="yellow"/>
        </w:rPr>
        <w:t>s</w:t>
      </w:r>
      <w:r w:rsidR="0060097B" w:rsidRPr="0060097B">
        <w:rPr>
          <w:b/>
          <w:bCs/>
        </w:rPr>
        <w:t>]</w:t>
      </w:r>
      <w:r>
        <w:t xml:space="preserve"> other rights and </w:t>
      </w:r>
      <w:r w:rsidR="0060097B" w:rsidRPr="0060097B">
        <w:rPr>
          <w:b/>
          <w:bCs/>
        </w:rPr>
        <w:t>[</w:t>
      </w:r>
      <w:r w:rsidR="0060097B" w:rsidRPr="0060097B">
        <w:rPr>
          <w:b/>
          <w:bCs/>
          <w:highlight w:val="yellow"/>
        </w:rPr>
        <w:t>The Supplier</w:t>
      </w:r>
      <w:r w:rsidR="0060097B" w:rsidRPr="0060097B">
        <w:rPr>
          <w:b/>
          <w:bCs/>
          <w:highlight w:val="yellow"/>
        </w:rPr>
        <w:t>’s</w:t>
      </w:r>
      <w:r w:rsidR="0060097B" w:rsidRPr="0060097B">
        <w:rPr>
          <w:b/>
          <w:bCs/>
        </w:rPr>
        <w:t>]</w:t>
      </w:r>
      <w:r>
        <w:t xml:space="preserve"> other obligations under this Agreement) use commercially reasonable endeavours to remedy that breach.</w:t>
      </w:r>
    </w:p>
    <w:p w14:paraId="703C305E" w14:textId="77777777" w:rsidR="00E010DD" w:rsidRDefault="00E010DD" w:rsidP="00304FC9"/>
    <w:p w14:paraId="3CCD4927" w14:textId="77777777" w:rsidR="001D1D29" w:rsidRDefault="00E010DD" w:rsidP="00304FC9">
      <w:pPr>
        <w:rPr>
          <w:b/>
          <w:bCs/>
          <w:highlight w:val="yellow"/>
        </w:rPr>
      </w:pPr>
      <w:r w:rsidRPr="00E010DD">
        <w:rPr>
          <w:b/>
          <w:bCs/>
          <w:highlight w:val="yellow"/>
        </w:rPr>
        <w:t xml:space="preserve">NOTE: The below sections are suggestions for </w:t>
      </w:r>
      <w:r w:rsidR="001D1D29">
        <w:rPr>
          <w:b/>
          <w:bCs/>
          <w:highlight w:val="yellow"/>
        </w:rPr>
        <w:t>dealing with breaches.</w:t>
      </w:r>
      <w:r w:rsidRPr="00E010DD">
        <w:rPr>
          <w:b/>
          <w:bCs/>
          <w:highlight w:val="yellow"/>
        </w:rPr>
        <w:t xml:space="preserve"> </w:t>
      </w:r>
    </w:p>
    <w:p w14:paraId="7EA06278" w14:textId="1C20EB01" w:rsidR="00E010DD" w:rsidRPr="00E010DD" w:rsidRDefault="001D1D29" w:rsidP="00304FC9">
      <w:pPr>
        <w:rPr>
          <w:b/>
          <w:bCs/>
        </w:rPr>
      </w:pPr>
      <w:r>
        <w:rPr>
          <w:b/>
          <w:bCs/>
          <w:highlight w:val="yellow"/>
        </w:rPr>
        <w:t xml:space="preserve">The below example text covers if </w:t>
      </w:r>
      <w:r w:rsidR="00E010DD" w:rsidRPr="00E010DD">
        <w:rPr>
          <w:b/>
          <w:bCs/>
          <w:highlight w:val="yellow"/>
        </w:rPr>
        <w:t>your organisation uses Service Credits as a way of enforcing adherence to contract terms</w:t>
      </w:r>
      <w:r>
        <w:rPr>
          <w:b/>
          <w:bCs/>
          <w:highlight w:val="yellow"/>
        </w:rPr>
        <w:t>, or if you would seek legal damages</w:t>
      </w:r>
      <w:r w:rsidR="00E010DD" w:rsidRPr="00E010DD">
        <w:rPr>
          <w:b/>
          <w:bCs/>
          <w:highlight w:val="yellow"/>
        </w:rPr>
        <w:t>. Please replace with your relevant terms for re</w:t>
      </w:r>
      <w:r w:rsidR="008E3F5C">
        <w:rPr>
          <w:b/>
          <w:bCs/>
          <w:highlight w:val="yellow"/>
        </w:rPr>
        <w:t>mun</w:t>
      </w:r>
      <w:r w:rsidR="00E010DD" w:rsidRPr="00E010DD">
        <w:rPr>
          <w:b/>
          <w:bCs/>
          <w:highlight w:val="yellow"/>
        </w:rPr>
        <w:t>erations and enforcement where applicable to your own organisation.</w:t>
      </w:r>
    </w:p>
    <w:p w14:paraId="0273D396" w14:textId="77777777" w:rsidR="00E010DD" w:rsidRDefault="00E010DD" w:rsidP="00304FC9"/>
    <w:p w14:paraId="375A5FF4" w14:textId="12574F71" w:rsidR="00304FC9" w:rsidRDefault="00304FC9" w:rsidP="00304FC9">
      <w:r w:rsidRPr="00304FC9">
        <w:rPr>
          <w:b/>
          <w:bCs/>
        </w:rPr>
        <w:t>2.6</w:t>
      </w:r>
      <w:r>
        <w:t xml:space="preserve"> If </w:t>
      </w:r>
      <w:r w:rsidR="0060097B" w:rsidRPr="0060097B">
        <w:rPr>
          <w:b/>
          <w:bCs/>
        </w:rPr>
        <w:t>[</w:t>
      </w:r>
      <w:r w:rsidR="0060097B" w:rsidRPr="0060097B">
        <w:rPr>
          <w:b/>
          <w:bCs/>
          <w:highlight w:val="yellow"/>
        </w:rPr>
        <w:t>The Supplier</w:t>
      </w:r>
      <w:r w:rsidR="0060097B" w:rsidRPr="0060097B">
        <w:rPr>
          <w:b/>
          <w:bCs/>
        </w:rPr>
        <w:t>]</w:t>
      </w:r>
      <w:r>
        <w:t xml:space="preserve"> does not remedy the notified breach(es) within </w:t>
      </w:r>
      <w:r w:rsidRPr="0060097B">
        <w:rPr>
          <w:b/>
          <w:bCs/>
        </w:rPr>
        <w:t>[</w:t>
      </w:r>
      <w:r w:rsidRPr="0060097B">
        <w:rPr>
          <w:b/>
          <w:bCs/>
          <w:highlight w:val="yellow"/>
        </w:rPr>
        <w:t>10</w:t>
      </w:r>
      <w:r w:rsidRPr="0060097B">
        <w:rPr>
          <w:b/>
          <w:bCs/>
        </w:rPr>
        <w:t>]</w:t>
      </w:r>
      <w:r>
        <w:t xml:space="preserve"> Business Days of its receipt of any Notice of Default, then (at </w:t>
      </w:r>
      <w:r w:rsidR="0060097B" w:rsidRPr="0060097B">
        <w:rPr>
          <w:b/>
          <w:bCs/>
        </w:rPr>
        <w:t>[</w:t>
      </w:r>
      <w:r w:rsidR="0060097B">
        <w:rPr>
          <w:b/>
          <w:bCs/>
          <w:highlight w:val="yellow"/>
        </w:rPr>
        <w:t>The Customer’</w:t>
      </w:r>
      <w:r w:rsidR="0060097B" w:rsidRPr="0060097B">
        <w:rPr>
          <w:b/>
          <w:bCs/>
          <w:highlight w:val="yellow"/>
        </w:rPr>
        <w:t>s</w:t>
      </w:r>
      <w:r w:rsidR="0060097B" w:rsidRPr="0060097B">
        <w:rPr>
          <w:b/>
          <w:bCs/>
        </w:rPr>
        <w:t>]</w:t>
      </w:r>
      <w:r>
        <w:t xml:space="preserve"> election):</w:t>
      </w:r>
    </w:p>
    <w:p w14:paraId="211FD9DA" w14:textId="34933D63" w:rsidR="00304FC9" w:rsidRDefault="0060097B" w:rsidP="00304FC9">
      <w:pPr>
        <w:pStyle w:val="ListParagraph"/>
        <w:numPr>
          <w:ilvl w:val="0"/>
          <w:numId w:val="6"/>
        </w:numPr>
      </w:pPr>
      <w:r w:rsidRPr="0060097B">
        <w:rPr>
          <w:b/>
          <w:bCs/>
        </w:rPr>
        <w:t>[</w:t>
      </w:r>
      <w:r w:rsidRPr="0060097B">
        <w:rPr>
          <w:b/>
          <w:bCs/>
          <w:highlight w:val="yellow"/>
        </w:rPr>
        <w:t>The Supplier</w:t>
      </w:r>
      <w:r w:rsidRPr="0060097B">
        <w:rPr>
          <w:b/>
          <w:bCs/>
        </w:rPr>
        <w:t>]</w:t>
      </w:r>
      <w:r w:rsidR="00304FC9">
        <w:t xml:space="preserve"> shall award to </w:t>
      </w:r>
      <w:r w:rsidRPr="0060097B">
        <w:rPr>
          <w:b/>
          <w:bCs/>
        </w:rPr>
        <w:t>[</w:t>
      </w:r>
      <w:r>
        <w:rPr>
          <w:b/>
          <w:bCs/>
          <w:highlight w:val="yellow"/>
        </w:rPr>
        <w:t>The Customer</w:t>
      </w:r>
      <w:r>
        <w:rPr>
          <w:b/>
          <w:bCs/>
        </w:rPr>
        <w:t>]</w:t>
      </w:r>
      <w:r>
        <w:rPr>
          <w:b/>
          <w:bCs/>
        </w:rPr>
        <w:t xml:space="preserve"> </w:t>
      </w:r>
      <w:r w:rsidR="00304FC9">
        <w:t xml:space="preserve">Service Credits in accordance with Clause </w:t>
      </w:r>
      <w:r w:rsidRPr="0060097B">
        <w:rPr>
          <w:b/>
          <w:bCs/>
        </w:rPr>
        <w:t>[</w:t>
      </w:r>
      <w:r w:rsidRPr="0060097B">
        <w:rPr>
          <w:b/>
          <w:bCs/>
          <w:highlight w:val="yellow"/>
        </w:rPr>
        <w:t>Add clause on service credits</w:t>
      </w:r>
      <w:r w:rsidRPr="0060097B">
        <w:rPr>
          <w:b/>
          <w:bCs/>
        </w:rPr>
        <w:t>]</w:t>
      </w:r>
      <w:r w:rsidR="00304FC9">
        <w:t xml:space="preserve"> for every day that </w:t>
      </w:r>
      <w:r w:rsidRPr="0060097B">
        <w:rPr>
          <w:b/>
          <w:bCs/>
        </w:rPr>
        <w:t>[</w:t>
      </w:r>
      <w:r w:rsidRPr="0060097B">
        <w:rPr>
          <w:b/>
          <w:bCs/>
          <w:highlight w:val="yellow"/>
        </w:rPr>
        <w:t>The Supplier</w:t>
      </w:r>
      <w:r w:rsidRPr="0060097B">
        <w:rPr>
          <w:b/>
          <w:bCs/>
        </w:rPr>
        <w:t>]</w:t>
      </w:r>
      <w:r w:rsidR="00304FC9">
        <w:t xml:space="preserve"> is in breach of this Claus</w:t>
      </w:r>
      <w:r>
        <w:t>e</w:t>
      </w:r>
      <w:r w:rsidR="00304FC9">
        <w:t xml:space="preserve">. The award of such Service Credits shall commence on the date of </w:t>
      </w:r>
      <w:r w:rsidRPr="0060097B">
        <w:rPr>
          <w:b/>
          <w:bCs/>
        </w:rPr>
        <w:t>[</w:t>
      </w:r>
      <w:r w:rsidRPr="0060097B">
        <w:rPr>
          <w:b/>
          <w:bCs/>
          <w:highlight w:val="yellow"/>
        </w:rPr>
        <w:t>The Supplier</w:t>
      </w:r>
      <w:r w:rsidRPr="0060097B">
        <w:rPr>
          <w:b/>
          <w:bCs/>
          <w:highlight w:val="yellow"/>
        </w:rPr>
        <w:t>’s</w:t>
      </w:r>
      <w:r w:rsidRPr="0060097B">
        <w:rPr>
          <w:b/>
          <w:bCs/>
        </w:rPr>
        <w:t>]</w:t>
      </w:r>
      <w:r w:rsidR="00304FC9">
        <w:t xml:space="preserve"> receipt of the Notice of Default; and/or</w:t>
      </w:r>
    </w:p>
    <w:p w14:paraId="5DF53B3D" w14:textId="0D5F9974" w:rsidR="00304FC9" w:rsidRDefault="0060097B" w:rsidP="00304FC9">
      <w:pPr>
        <w:pStyle w:val="ListParagraph"/>
        <w:numPr>
          <w:ilvl w:val="0"/>
          <w:numId w:val="6"/>
        </w:numPr>
      </w:pPr>
      <w:r w:rsidRPr="0060097B">
        <w:rPr>
          <w:b/>
          <w:bCs/>
        </w:rPr>
        <w:t>[</w:t>
      </w:r>
      <w:r>
        <w:rPr>
          <w:b/>
          <w:bCs/>
          <w:highlight w:val="yellow"/>
        </w:rPr>
        <w:t>The Customer</w:t>
      </w:r>
      <w:r>
        <w:rPr>
          <w:b/>
          <w:bCs/>
        </w:rPr>
        <w:t>]</w:t>
      </w:r>
      <w:r>
        <w:rPr>
          <w:b/>
          <w:bCs/>
        </w:rPr>
        <w:t xml:space="preserve"> </w:t>
      </w:r>
      <w:r w:rsidR="00304FC9">
        <w:t xml:space="preserve">may terminate this Agreement with immediate effect by giving written notice of such termination to </w:t>
      </w:r>
      <w:r w:rsidRPr="0060097B">
        <w:rPr>
          <w:b/>
          <w:bCs/>
        </w:rPr>
        <w:t>[</w:t>
      </w:r>
      <w:r w:rsidRPr="0060097B">
        <w:rPr>
          <w:b/>
          <w:bCs/>
          <w:highlight w:val="yellow"/>
        </w:rPr>
        <w:t>The Supplier</w:t>
      </w:r>
      <w:r w:rsidRPr="0060097B">
        <w:rPr>
          <w:b/>
          <w:bCs/>
        </w:rPr>
        <w:t>]</w:t>
      </w:r>
      <w:r w:rsidR="00304FC9">
        <w:t>.</w:t>
      </w:r>
    </w:p>
    <w:p w14:paraId="0839DB3E" w14:textId="77777777" w:rsidR="00304FC9" w:rsidRDefault="00304FC9" w:rsidP="00304FC9"/>
    <w:p w14:paraId="08512D18" w14:textId="12AD4035" w:rsidR="00B84A05" w:rsidRDefault="00304FC9" w:rsidP="00304FC9">
      <w:r w:rsidRPr="00304FC9">
        <w:rPr>
          <w:b/>
          <w:bCs/>
        </w:rPr>
        <w:t>2.7</w:t>
      </w:r>
      <w:r>
        <w:t xml:space="preserve"> Within </w:t>
      </w:r>
      <w:r w:rsidR="000C2844" w:rsidRPr="0060097B">
        <w:rPr>
          <w:b/>
          <w:bCs/>
        </w:rPr>
        <w:t>[</w:t>
      </w:r>
      <w:r w:rsidR="000C2844" w:rsidRPr="0060097B">
        <w:rPr>
          <w:b/>
          <w:bCs/>
          <w:highlight w:val="yellow"/>
        </w:rPr>
        <w:t>5</w:t>
      </w:r>
      <w:r w:rsidR="000C2844" w:rsidRPr="0060097B">
        <w:rPr>
          <w:b/>
          <w:bCs/>
        </w:rPr>
        <w:t>]</w:t>
      </w:r>
      <w:r>
        <w:t xml:space="preserve"> Business Days of Supplier’s receipt of a request by </w:t>
      </w:r>
      <w:r w:rsidR="0060097B" w:rsidRPr="0060097B">
        <w:rPr>
          <w:b/>
          <w:bCs/>
        </w:rPr>
        <w:t>[</w:t>
      </w:r>
      <w:r w:rsidR="0060097B">
        <w:rPr>
          <w:b/>
          <w:bCs/>
          <w:highlight w:val="yellow"/>
        </w:rPr>
        <w:t>The Customer</w:t>
      </w:r>
      <w:r w:rsidR="0060097B">
        <w:rPr>
          <w:b/>
          <w:bCs/>
        </w:rPr>
        <w:t>]</w:t>
      </w:r>
      <w:r w:rsidR="0060097B">
        <w:rPr>
          <w:b/>
          <w:bCs/>
        </w:rPr>
        <w:t xml:space="preserve"> </w:t>
      </w:r>
      <w:r>
        <w:t xml:space="preserve">pursuant to Clause </w:t>
      </w:r>
      <w:r w:rsidR="00AC5967" w:rsidRPr="0060097B">
        <w:rPr>
          <w:b/>
          <w:bCs/>
          <w:highlight w:val="yellow"/>
        </w:rPr>
        <w:t>2</w:t>
      </w:r>
      <w:r w:rsidRPr="0060097B">
        <w:rPr>
          <w:b/>
          <w:bCs/>
          <w:highlight w:val="yellow"/>
        </w:rPr>
        <w:t>.6</w:t>
      </w:r>
      <w:r>
        <w:t xml:space="preserve"> (a), </w:t>
      </w:r>
      <w:r w:rsidR="0060097B" w:rsidRPr="0060097B">
        <w:rPr>
          <w:b/>
          <w:bCs/>
        </w:rPr>
        <w:t>[</w:t>
      </w:r>
      <w:r w:rsidR="0060097B" w:rsidRPr="0060097B">
        <w:rPr>
          <w:b/>
          <w:bCs/>
          <w:highlight w:val="yellow"/>
        </w:rPr>
        <w:t>The Supplier</w:t>
      </w:r>
      <w:r w:rsidR="0060097B" w:rsidRPr="0060097B">
        <w:rPr>
          <w:b/>
          <w:bCs/>
        </w:rPr>
        <w:t>]</w:t>
      </w:r>
      <w:r w:rsidR="0060097B">
        <w:rPr>
          <w:b/>
          <w:bCs/>
        </w:rPr>
        <w:t xml:space="preserve"> </w:t>
      </w:r>
      <w:r>
        <w:t xml:space="preserve">shall promptly issue a credit note to </w:t>
      </w:r>
      <w:r w:rsidR="0060097B" w:rsidRPr="0060097B">
        <w:rPr>
          <w:b/>
          <w:bCs/>
        </w:rPr>
        <w:t>[</w:t>
      </w:r>
      <w:r w:rsidR="0060097B">
        <w:rPr>
          <w:b/>
          <w:bCs/>
          <w:highlight w:val="yellow"/>
        </w:rPr>
        <w:t>The Customer</w:t>
      </w:r>
      <w:r w:rsidR="0060097B">
        <w:rPr>
          <w:b/>
          <w:bCs/>
        </w:rPr>
        <w:t>]</w:t>
      </w:r>
      <w:r w:rsidR="0060097B">
        <w:rPr>
          <w:b/>
          <w:bCs/>
        </w:rPr>
        <w:t xml:space="preserve"> </w:t>
      </w:r>
      <w:r>
        <w:t xml:space="preserve">for any Service Credits that </w:t>
      </w:r>
      <w:r w:rsidR="0060097B" w:rsidRPr="0060097B">
        <w:rPr>
          <w:b/>
          <w:bCs/>
        </w:rPr>
        <w:t>[</w:t>
      </w:r>
      <w:r w:rsidR="0060097B">
        <w:rPr>
          <w:b/>
          <w:bCs/>
          <w:highlight w:val="yellow"/>
        </w:rPr>
        <w:t>The Customer</w:t>
      </w:r>
      <w:r w:rsidR="0060097B">
        <w:rPr>
          <w:b/>
          <w:bCs/>
        </w:rPr>
        <w:t>]</w:t>
      </w:r>
      <w:r w:rsidR="0060097B">
        <w:rPr>
          <w:b/>
          <w:bCs/>
        </w:rPr>
        <w:t xml:space="preserve"> </w:t>
      </w:r>
      <w:r>
        <w:t xml:space="preserve">is entitled to. </w:t>
      </w:r>
      <w:r w:rsidR="0060097B" w:rsidRPr="0060097B">
        <w:rPr>
          <w:b/>
          <w:bCs/>
        </w:rPr>
        <w:t>[</w:t>
      </w:r>
      <w:r w:rsidR="0060097B" w:rsidRPr="0060097B">
        <w:rPr>
          <w:b/>
          <w:bCs/>
          <w:highlight w:val="yellow"/>
        </w:rPr>
        <w:t>The Supplier</w:t>
      </w:r>
      <w:r w:rsidR="0060097B" w:rsidRPr="0060097B">
        <w:rPr>
          <w:b/>
          <w:bCs/>
        </w:rPr>
        <w:t>]</w:t>
      </w:r>
      <w:r>
        <w:t xml:space="preserve"> shall pay such Service Credits as a debt to </w:t>
      </w:r>
      <w:r w:rsidR="0060097B" w:rsidRPr="0060097B">
        <w:rPr>
          <w:b/>
          <w:bCs/>
        </w:rPr>
        <w:t>[</w:t>
      </w:r>
      <w:r w:rsidR="0060097B">
        <w:rPr>
          <w:b/>
          <w:bCs/>
          <w:highlight w:val="yellow"/>
        </w:rPr>
        <w:t>The Customer</w:t>
      </w:r>
      <w:r w:rsidR="0060097B">
        <w:rPr>
          <w:b/>
          <w:bCs/>
        </w:rPr>
        <w:t>]</w:t>
      </w:r>
      <w:r w:rsidR="0060097B">
        <w:rPr>
          <w:b/>
          <w:bCs/>
        </w:rPr>
        <w:t xml:space="preserve"> </w:t>
      </w:r>
      <w:r>
        <w:t xml:space="preserve">within </w:t>
      </w:r>
      <w:r w:rsidR="00AC5967" w:rsidRPr="0060097B">
        <w:rPr>
          <w:b/>
          <w:bCs/>
        </w:rPr>
        <w:t>[</w:t>
      </w:r>
      <w:r w:rsidRPr="0060097B">
        <w:rPr>
          <w:b/>
          <w:bCs/>
          <w:highlight w:val="yellow"/>
        </w:rPr>
        <w:t>30</w:t>
      </w:r>
      <w:r w:rsidR="00AC5967" w:rsidRPr="0060097B">
        <w:rPr>
          <w:b/>
          <w:bCs/>
        </w:rPr>
        <w:t>]</w:t>
      </w:r>
      <w:r>
        <w:t xml:space="preserve"> Business Days of the issue of the credit note.</w:t>
      </w:r>
    </w:p>
    <w:p w14:paraId="67BF6F1D" w14:textId="77777777" w:rsidR="001D1D29" w:rsidRDefault="001D1D29" w:rsidP="00304FC9"/>
    <w:p w14:paraId="1C999C6C" w14:textId="5544A039" w:rsidR="001D1D29" w:rsidRDefault="001D1D29" w:rsidP="00304FC9">
      <w:r w:rsidRPr="00304FC9">
        <w:rPr>
          <w:b/>
          <w:bCs/>
        </w:rPr>
        <w:t>2.</w:t>
      </w:r>
      <w:r>
        <w:rPr>
          <w:b/>
          <w:bCs/>
        </w:rPr>
        <w:t>8</w:t>
      </w:r>
      <w:r>
        <w:t xml:space="preserve"> </w:t>
      </w:r>
      <w:r w:rsidRPr="001D1D29">
        <w:t xml:space="preserve">In the event of non-compliance of accessibility standards </w:t>
      </w:r>
      <w:r w:rsidR="0060097B" w:rsidRPr="0060097B">
        <w:rPr>
          <w:b/>
          <w:bCs/>
        </w:rPr>
        <w:t>[</w:t>
      </w:r>
      <w:r w:rsidR="0060097B" w:rsidRPr="0060097B">
        <w:rPr>
          <w:b/>
          <w:bCs/>
          <w:highlight w:val="yellow"/>
        </w:rPr>
        <w:t>The Supplier</w:t>
      </w:r>
      <w:r w:rsidR="0060097B" w:rsidRPr="0060097B">
        <w:rPr>
          <w:b/>
          <w:bCs/>
        </w:rPr>
        <w:t>]</w:t>
      </w:r>
      <w:r w:rsidRPr="001D1D29">
        <w:t xml:space="preserve"> shall be liable to defend and pay any claims against </w:t>
      </w:r>
      <w:r w:rsidR="0060097B" w:rsidRPr="0060097B">
        <w:rPr>
          <w:b/>
          <w:bCs/>
        </w:rPr>
        <w:t>[</w:t>
      </w:r>
      <w:r w:rsidR="0060097B">
        <w:rPr>
          <w:b/>
          <w:bCs/>
          <w:highlight w:val="yellow"/>
        </w:rPr>
        <w:t>The Customer</w:t>
      </w:r>
      <w:r w:rsidR="0060097B">
        <w:rPr>
          <w:b/>
          <w:bCs/>
        </w:rPr>
        <w:t>]</w:t>
      </w:r>
      <w:r w:rsidRPr="001D1D29">
        <w:t>.</w:t>
      </w:r>
    </w:p>
    <w:sectPr w:rsidR="001D1D2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90EB" w14:textId="77777777" w:rsidR="009B15A3" w:rsidRDefault="009B15A3" w:rsidP="00304FC9">
      <w:pPr>
        <w:spacing w:line="240" w:lineRule="auto"/>
      </w:pPr>
      <w:r>
        <w:separator/>
      </w:r>
    </w:p>
  </w:endnote>
  <w:endnote w:type="continuationSeparator" w:id="0">
    <w:p w14:paraId="72B19843" w14:textId="77777777" w:rsidR="009B15A3" w:rsidRDefault="009B15A3" w:rsidP="00304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B103" w14:textId="77777777" w:rsidR="009B15A3" w:rsidRDefault="009B15A3" w:rsidP="00304FC9">
      <w:pPr>
        <w:spacing w:line="240" w:lineRule="auto"/>
      </w:pPr>
      <w:r>
        <w:separator/>
      </w:r>
    </w:p>
  </w:footnote>
  <w:footnote w:type="continuationSeparator" w:id="0">
    <w:p w14:paraId="3E1DE497" w14:textId="77777777" w:rsidR="009B15A3" w:rsidRDefault="009B15A3" w:rsidP="00304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A0E3" w14:textId="1DC3BFE1" w:rsidR="00304FC9" w:rsidRDefault="00304FC9">
    <w:pPr>
      <w:pStyle w:val="Header"/>
    </w:pPr>
    <w:r>
      <w:rPr>
        <w:noProof/>
      </w:rPr>
      <w:drawing>
        <wp:inline distT="0" distB="0" distL="0" distR="0" wp14:anchorId="79A4E2D1" wp14:editId="21E9F47B">
          <wp:extent cx="2435041" cy="590550"/>
          <wp:effectExtent l="0" t="0" r="3810" b="0"/>
          <wp:docPr id="87157284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72843"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445845" cy="593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7C7E"/>
    <w:multiLevelType w:val="hybridMultilevel"/>
    <w:tmpl w:val="B92AFA66"/>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8C4EFD"/>
    <w:multiLevelType w:val="hybridMultilevel"/>
    <w:tmpl w:val="6D34FDFA"/>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014687"/>
    <w:multiLevelType w:val="hybridMultilevel"/>
    <w:tmpl w:val="C7909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1027A"/>
    <w:multiLevelType w:val="hybridMultilevel"/>
    <w:tmpl w:val="556696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2814C5"/>
    <w:multiLevelType w:val="hybridMultilevel"/>
    <w:tmpl w:val="E318900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A1142A"/>
    <w:multiLevelType w:val="hybridMultilevel"/>
    <w:tmpl w:val="CA3031C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2D0291"/>
    <w:multiLevelType w:val="hybridMultilevel"/>
    <w:tmpl w:val="361ADF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31549"/>
    <w:multiLevelType w:val="hybridMultilevel"/>
    <w:tmpl w:val="7CAC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F6291D"/>
    <w:multiLevelType w:val="hybridMultilevel"/>
    <w:tmpl w:val="7B48D7B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CC56A7"/>
    <w:multiLevelType w:val="hybridMultilevel"/>
    <w:tmpl w:val="3B34B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661EF7"/>
    <w:multiLevelType w:val="hybridMultilevel"/>
    <w:tmpl w:val="CFFEFC4C"/>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EB2F19"/>
    <w:multiLevelType w:val="hybridMultilevel"/>
    <w:tmpl w:val="8C52B5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398939">
    <w:abstractNumId w:val="4"/>
  </w:num>
  <w:num w:numId="2" w16cid:durableId="1943142800">
    <w:abstractNumId w:val="6"/>
  </w:num>
  <w:num w:numId="3" w16cid:durableId="633676304">
    <w:abstractNumId w:val="10"/>
  </w:num>
  <w:num w:numId="4" w16cid:durableId="595283958">
    <w:abstractNumId w:val="9"/>
  </w:num>
  <w:num w:numId="5" w16cid:durableId="867177535">
    <w:abstractNumId w:val="5"/>
  </w:num>
  <w:num w:numId="6" w16cid:durableId="61560605">
    <w:abstractNumId w:val="1"/>
  </w:num>
  <w:num w:numId="7" w16cid:durableId="2051416497">
    <w:abstractNumId w:val="7"/>
  </w:num>
  <w:num w:numId="8" w16cid:durableId="620913914">
    <w:abstractNumId w:val="2"/>
  </w:num>
  <w:num w:numId="9" w16cid:durableId="844590759">
    <w:abstractNumId w:val="0"/>
  </w:num>
  <w:num w:numId="10" w16cid:durableId="177231381">
    <w:abstractNumId w:val="8"/>
  </w:num>
  <w:num w:numId="11" w16cid:durableId="87317180">
    <w:abstractNumId w:val="3"/>
  </w:num>
  <w:num w:numId="12" w16cid:durableId="1350568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002BCD"/>
    <w:rsid w:val="00080C99"/>
    <w:rsid w:val="000C2844"/>
    <w:rsid w:val="001D1D29"/>
    <w:rsid w:val="001D54C0"/>
    <w:rsid w:val="003012BE"/>
    <w:rsid w:val="00304FC9"/>
    <w:rsid w:val="00381C1D"/>
    <w:rsid w:val="004E68B2"/>
    <w:rsid w:val="005C27B6"/>
    <w:rsid w:val="0060097B"/>
    <w:rsid w:val="008E3F5C"/>
    <w:rsid w:val="009A66BA"/>
    <w:rsid w:val="009B15A3"/>
    <w:rsid w:val="00A102E0"/>
    <w:rsid w:val="00A53901"/>
    <w:rsid w:val="00AC5967"/>
    <w:rsid w:val="00B23141"/>
    <w:rsid w:val="00B84A05"/>
    <w:rsid w:val="00CA562E"/>
    <w:rsid w:val="00DF10F6"/>
    <w:rsid w:val="00E010DD"/>
    <w:rsid w:val="00EC1CD5"/>
    <w:rsid w:val="00EE0D41"/>
    <w:rsid w:val="00EF3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52AB"/>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table" w:styleId="TableGrid">
    <w:name w:val="Table Grid"/>
    <w:basedOn w:val="TableNormal"/>
    <w:uiPriority w:val="39"/>
    <w:rsid w:val="00304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04FC9"/>
    <w:rPr>
      <w:color w:val="0000FF"/>
      <w:u w:val="single"/>
    </w:rPr>
  </w:style>
  <w:style w:type="character" w:styleId="CommentReference">
    <w:name w:val="annotation reference"/>
    <w:basedOn w:val="DefaultParagraphFont"/>
    <w:uiPriority w:val="99"/>
    <w:semiHidden/>
    <w:unhideWhenUsed/>
    <w:rsid w:val="00304FC9"/>
    <w:rPr>
      <w:sz w:val="16"/>
      <w:szCs w:val="16"/>
    </w:rPr>
  </w:style>
  <w:style w:type="paragraph" w:styleId="CommentText">
    <w:name w:val="annotation text"/>
    <w:basedOn w:val="Normal"/>
    <w:link w:val="CommentTextChar"/>
    <w:uiPriority w:val="99"/>
    <w:unhideWhenUsed/>
    <w:rsid w:val="00304FC9"/>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04FC9"/>
    <w:rPr>
      <w:sz w:val="20"/>
      <w:szCs w:val="20"/>
    </w:rPr>
  </w:style>
  <w:style w:type="paragraph" w:styleId="ListParagraph">
    <w:name w:val="List Paragraph"/>
    <w:basedOn w:val="Normal"/>
    <w:uiPriority w:val="34"/>
    <w:qFormat/>
    <w:rsid w:val="00304FC9"/>
    <w:pPr>
      <w:ind w:left="720"/>
      <w:contextualSpacing/>
    </w:pPr>
  </w:style>
  <w:style w:type="paragraph" w:styleId="Header">
    <w:name w:val="header"/>
    <w:basedOn w:val="Normal"/>
    <w:link w:val="HeaderChar"/>
    <w:uiPriority w:val="99"/>
    <w:unhideWhenUsed/>
    <w:rsid w:val="00304FC9"/>
    <w:pPr>
      <w:tabs>
        <w:tab w:val="center" w:pos="4513"/>
        <w:tab w:val="right" w:pos="9026"/>
      </w:tabs>
      <w:spacing w:line="240" w:lineRule="auto"/>
    </w:pPr>
  </w:style>
  <w:style w:type="character" w:customStyle="1" w:styleId="HeaderChar">
    <w:name w:val="Header Char"/>
    <w:basedOn w:val="DefaultParagraphFont"/>
    <w:link w:val="Header"/>
    <w:uiPriority w:val="99"/>
    <w:rsid w:val="00304FC9"/>
    <w:rPr>
      <w:rFonts w:ascii="Arial" w:hAnsi="Arial"/>
      <w:sz w:val="24"/>
    </w:rPr>
  </w:style>
  <w:style w:type="paragraph" w:styleId="Footer">
    <w:name w:val="footer"/>
    <w:basedOn w:val="Normal"/>
    <w:link w:val="FooterChar"/>
    <w:uiPriority w:val="99"/>
    <w:unhideWhenUsed/>
    <w:rsid w:val="00304FC9"/>
    <w:pPr>
      <w:tabs>
        <w:tab w:val="center" w:pos="4513"/>
        <w:tab w:val="right" w:pos="9026"/>
      </w:tabs>
      <w:spacing w:line="240" w:lineRule="auto"/>
    </w:pPr>
  </w:style>
  <w:style w:type="character" w:customStyle="1" w:styleId="FooterChar">
    <w:name w:val="Footer Char"/>
    <w:basedOn w:val="DefaultParagraphFont"/>
    <w:link w:val="Footer"/>
    <w:uiPriority w:val="99"/>
    <w:rsid w:val="00304FC9"/>
    <w:rPr>
      <w:rFonts w:ascii="Arial" w:hAnsi="Arial"/>
      <w:sz w:val="24"/>
    </w:rPr>
  </w:style>
  <w:style w:type="paragraph" w:styleId="Revision">
    <w:name w:val="Revision"/>
    <w:hidden/>
    <w:uiPriority w:val="99"/>
    <w:semiHidden/>
    <w:rsid w:val="00304FC9"/>
    <w:pPr>
      <w:spacing w:after="0" w:line="240" w:lineRule="auto"/>
    </w:pPr>
    <w:rPr>
      <w:rFonts w:ascii="Arial" w:hAnsi="Arial"/>
      <w:sz w:val="24"/>
    </w:rPr>
  </w:style>
  <w:style w:type="character" w:styleId="UnresolvedMention">
    <w:name w:val="Unresolved Mention"/>
    <w:basedOn w:val="DefaultParagraphFont"/>
    <w:uiPriority w:val="99"/>
    <w:semiHidden/>
    <w:unhideWhenUsed/>
    <w:rsid w:val="00EC1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1/" TargetMode="External"/><Relationship Id="rId3" Type="http://schemas.openxmlformats.org/officeDocument/2006/relationships/settings" Target="settings.xml"/><Relationship Id="rId7" Type="http://schemas.openxmlformats.org/officeDocument/2006/relationships/hyperlink" Target="https://www.gov.uk/government/publications/assistive-technology-definition-and-safe-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org/TR/WCAG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17</cp:revision>
  <dcterms:created xsi:type="dcterms:W3CDTF">2024-02-01T13:24:00Z</dcterms:created>
  <dcterms:modified xsi:type="dcterms:W3CDTF">2024-03-04T12:24:00Z</dcterms:modified>
</cp:coreProperties>
</file>