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60729" cy="1055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729" cy="1055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6" w:lineRule="auto" w:before="112" w:after="0"/>
        <w:ind w:left="144" w:right="144" w:firstLine="0"/>
        <w:jc w:val="center"/>
      </w:pPr>
      <w:r>
        <w:rPr>
          <w:rFonts w:ascii="FMAbabldBold" w:hAnsi="FMAbabldBold" w:eastAsia="FMAbabldBold"/>
          <w:b/>
          <w:i w:val="0"/>
          <w:color w:val="221F1F"/>
          <w:sz w:val="64"/>
        </w:rPr>
        <w:t xml:space="preserve">Y%S ,xld m%cd;dka;%sl iudcjd§ ckrcfha .eiÜ m;%h </w:t>
      </w:r>
      <w:r>
        <w:rPr>
          <w:rFonts w:ascii="FMAbabldBold" w:hAnsi="FMAbabldBold" w:eastAsia="FMAbabldBold"/>
          <w:b/>
          <w:i w:val="0"/>
          <w:color w:val="221F1F"/>
          <w:sz w:val="36"/>
        </w:rPr>
        <w:t xml:space="preserve">w;s úfYI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51"/>
        </w:rPr>
        <w:t xml:space="preserve">The Gazette of the Democratic Socialist Republic of Sri Lanka </w:t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EXTRAORDINARY</w:t>
      </w:r>
    </w:p>
    <w:p>
      <w:pPr>
        <w:autoSpaceDN w:val="0"/>
        <w:autoSpaceDE w:val="0"/>
        <w:widowControl/>
        <w:spacing w:line="245" w:lineRule="auto" w:before="262" w:after="0"/>
        <w:ind w:left="1728" w:right="1872" w:firstLine="0"/>
        <w:jc w:val="center"/>
      </w:pPr>
      <w:r>
        <w:rPr>
          <w:rFonts w:ascii="FMAbabldBold" w:hAnsi="FMAbabldBold" w:eastAsia="FMAbabldBold"/>
          <w:b/>
          <w:i w:val="0"/>
          <w:color w:val="221F1F"/>
          <w:sz w:val="24"/>
        </w:rPr>
        <w:t xml:space="preserve">wxl 2315$35 - 2023 ckjdß ui 19 jeks n%yiam;skaod - 2023'01'19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No. 2315/35 -  thursday,   jaNuary  19,  2023</w:t>
      </w:r>
    </w:p>
    <w:p>
      <w:pPr>
        <w:autoSpaceDN w:val="0"/>
        <w:autoSpaceDE w:val="0"/>
        <w:widowControl/>
        <w:spacing w:line="230" w:lineRule="auto" w:before="24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16"/>
        </w:rPr>
        <w:t>(Published by Authority)</w:t>
      </w:r>
    </w:p>
    <w:p>
      <w:pPr>
        <w:autoSpaceDN w:val="0"/>
        <w:autoSpaceDE w:val="0"/>
        <w:widowControl/>
        <w:spacing w:line="230" w:lineRule="auto" w:before="16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6"/>
        </w:rPr>
        <w:t>PART I : SECTION (I) — GENERAL</w:t>
      </w:r>
    </w:p>
    <w:p>
      <w:pPr>
        <w:autoSpaceDN w:val="0"/>
        <w:autoSpaceDE w:val="0"/>
        <w:widowControl/>
        <w:spacing w:line="230" w:lineRule="auto" w:before="22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2"/>
        </w:rPr>
        <w:t>Government Notifications</w:t>
      </w:r>
    </w:p>
    <w:p>
      <w:pPr>
        <w:autoSpaceDN w:val="0"/>
        <w:autoSpaceDE w:val="0"/>
        <w:widowControl/>
        <w:spacing w:line="230" w:lineRule="auto" w:before="27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ThE   CONSTITuTION   Of   ThE   DEmOCRATIC   SOCIALIST   REPubLIC   Of   SRI   LANkA</w:t>
      </w:r>
    </w:p>
    <w:p>
      <w:pPr>
        <w:autoSpaceDN w:val="0"/>
        <w:autoSpaceDE w:val="0"/>
        <w:widowControl/>
        <w:spacing w:line="230" w:lineRule="auto" w:before="18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Notification</w:t>
      </w:r>
    </w:p>
    <w:p>
      <w:pPr>
        <w:autoSpaceDN w:val="0"/>
        <w:autoSpaceDE w:val="0"/>
        <w:widowControl/>
        <w:spacing w:line="247" w:lineRule="auto" w:before="230" w:after="0"/>
        <w:ind w:left="4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It is hereby notified that the notification issued by me under paragraph (1) (a) of Article 44 of the Constitution of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Democratic Socialist Republic of Sri Lanka and published in the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Gazette Extraordinary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No. 2289/43 of July 22, 2022, and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amended from time to time, is further amended in the exercise of powers vested in me under paragraph (1) of Article 44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Constitution of the Democratic Socialist Republic of Sri Lanka, with effect from January 19, 2023 in the manner set out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the schedule below.</w:t>
      </w:r>
    </w:p>
    <w:p>
      <w:pPr>
        <w:autoSpaceDN w:val="0"/>
        <w:autoSpaceDE w:val="0"/>
        <w:widowControl/>
        <w:spacing w:line="245" w:lineRule="auto" w:before="500" w:after="0"/>
        <w:ind w:left="7488" w:right="288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Ranil Wickremesinghe,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President.</w:t>
      </w:r>
    </w:p>
    <w:p>
      <w:pPr>
        <w:autoSpaceDN w:val="0"/>
        <w:autoSpaceDE w:val="0"/>
        <w:widowControl/>
        <w:spacing w:line="245" w:lineRule="auto" w:before="20" w:after="0"/>
        <w:ind w:left="44" w:right="79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January 19, 2023,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Presidential Secretariat,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Colombo-01. </w:t>
      </w:r>
    </w:p>
    <w:p>
      <w:pPr>
        <w:autoSpaceDN w:val="0"/>
        <w:autoSpaceDE w:val="0"/>
        <w:widowControl/>
        <w:spacing w:line="240" w:lineRule="auto" w:before="1302" w:after="0"/>
        <w:ind w:left="0" w:right="5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0" w:after="0"/>
        <w:ind w:left="44" w:right="48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4"/>
        </w:rPr>
        <w:t xml:space="preserve">1a- G 38627 - 361 (01/2023) </w:t>
      </w:r>
      <w:r>
        <w:br/>
      </w:r>
      <w:r>
        <w:rPr>
          <w:rFonts w:ascii="TimesNewRomanPS" w:hAnsi="TimesNewRomanPS" w:eastAsia="TimesNewRomanPS"/>
          <w:b w:val="0"/>
          <w:i/>
          <w:color w:val="020404"/>
          <w:sz w:val="16"/>
        </w:rPr>
        <w:t xml:space="preserve">This Gazette Extraordinary can be downloaded from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www.documents.gov.lk</w:t>
      </w:r>
    </w:p>
    <w:p>
      <w:pPr>
        <w:sectPr>
          <w:pgSz w:w="11906" w:h="16838"/>
          <w:pgMar w:top="874" w:right="1036" w:bottom="996" w:left="936" w:header="720" w:footer="720" w:gutter="0"/>
          <w:cols w:space="720" w:num="1" w:equalWidth="0"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2a</w:t>
            </w:r>
          </w:p>
        </w:tc>
        <w:tc>
          <w:tcPr>
            <w:tcW w:type="dxa" w:w="941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- 2023'01'19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- 19.01.2023</w:t>
            </w:r>
          </w:p>
        </w:tc>
      </w:tr>
    </w:tbl>
    <w:p>
      <w:pPr>
        <w:autoSpaceDN w:val="0"/>
        <w:autoSpaceDE w:val="0"/>
        <w:widowControl/>
        <w:spacing w:line="233" w:lineRule="auto" w:before="29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SChEDuLE</w:t>
      </w:r>
    </w:p>
    <w:p>
      <w:pPr>
        <w:autoSpaceDN w:val="0"/>
        <w:tabs>
          <w:tab w:pos="792" w:val="left"/>
        </w:tabs>
        <w:autoSpaceDE w:val="0"/>
        <w:widowControl/>
        <w:spacing w:line="209" w:lineRule="auto" w:before="304" w:after="0"/>
        <w:ind w:left="86" w:right="0" w:firstLine="0"/>
        <w:jc w:val="left"/>
      </w:pPr>
      <w:r>
        <w:rPr>
          <w:rFonts w:ascii="PalatinoLinotype" w:hAnsi="PalatinoLinotype" w:eastAsia="PalatinoLinotype"/>
          <w:b w:val="0"/>
          <w:i w:val="0"/>
          <w:color w:val="020404"/>
          <w:sz w:val="18"/>
        </w:rPr>
        <w:t xml:space="preserve">(1) </w:t>
      </w:r>
      <w:r>
        <w:tab/>
      </w:r>
      <w:r>
        <w:rPr>
          <w:rFonts w:ascii="PalatinoLinotype" w:hAnsi="PalatinoLinotype" w:eastAsia="PalatinoLinotype"/>
          <w:b w:val="0"/>
          <w:i w:val="0"/>
          <w:color w:val="020404"/>
          <w:sz w:val="18"/>
        </w:rPr>
        <w:t>With reference to the Heading “No. 13</w:t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. </w:t>
      </w:r>
      <w:r>
        <w:rPr>
          <w:rFonts w:ascii="PalatinoLinotype" w:hAnsi="PalatinoLinotype" w:eastAsia="PalatinoLinotype"/>
          <w:b w:val="0"/>
          <w:i w:val="0"/>
          <w:color w:val="020404"/>
          <w:sz w:val="18"/>
        </w:rPr>
        <w:t>Minister of Water Supply” of the said Notification, as follows :-</w:t>
      </w:r>
    </w:p>
    <w:p>
      <w:pPr>
        <w:autoSpaceDN w:val="0"/>
        <w:tabs>
          <w:tab w:pos="1422" w:val="left"/>
        </w:tabs>
        <w:autoSpaceDE w:val="0"/>
        <w:widowControl/>
        <w:spacing w:line="182" w:lineRule="auto" w:before="324" w:after="0"/>
        <w:ind w:left="792" w:right="0" w:firstLine="0"/>
        <w:jc w:val="left"/>
      </w:pPr>
      <w:r>
        <w:rPr>
          <w:rFonts w:ascii="PalatinoLinotype" w:hAnsi="PalatinoLinotype" w:eastAsia="PalatinoLinotype"/>
          <w:b w:val="0"/>
          <w:i w:val="0"/>
          <w:color w:val="020404"/>
          <w:sz w:val="18"/>
        </w:rPr>
        <w:t xml:space="preserve">(a) </w:t>
      </w:r>
      <w:r>
        <w:tab/>
      </w:r>
      <w:r>
        <w:rPr>
          <w:rFonts w:ascii="PalatinoLinotype" w:hAnsi="PalatinoLinotype" w:eastAsia="PalatinoLinotype"/>
          <w:b w:val="0"/>
          <w:i w:val="0"/>
          <w:color w:val="020404"/>
          <w:sz w:val="18"/>
        </w:rPr>
        <w:t>By the</w:t>
      </w:r>
      <w:r>
        <w:rPr>
          <w:rFonts w:ascii="PalatinoLinotype" w:hAnsi="PalatinoLinotype" w:eastAsia="PalatinoLinotype"/>
          <w:b w:val="0"/>
          <w:i w:val="0"/>
          <w:color w:val="020404"/>
          <w:sz w:val="18"/>
        </w:rPr>
        <w:t>omission of the said Heading and Columns I, II and III under it</w:t>
      </w:r>
      <w:r>
        <w:rPr>
          <w:rFonts w:ascii="PalatinoLinotype" w:hAnsi="PalatinoLinotype" w:eastAsia="PalatinoLinotype"/>
          <w:b w:val="0"/>
          <w:i w:val="0"/>
          <w:color w:val="020404"/>
          <w:sz w:val="18"/>
        </w:rPr>
        <w:t xml:space="preserve">and the insertion of the following </w:t>
      </w:r>
    </w:p>
    <w:p>
      <w:pPr>
        <w:autoSpaceDN w:val="0"/>
        <w:autoSpaceDE w:val="0"/>
        <w:widowControl/>
        <w:spacing w:line="182" w:lineRule="auto" w:before="32" w:after="0"/>
        <w:ind w:left="1422" w:right="0" w:firstLine="0"/>
        <w:jc w:val="left"/>
      </w:pPr>
      <w:r>
        <w:rPr>
          <w:rFonts w:ascii="PalatinoLinotype" w:hAnsi="PalatinoLinotype" w:eastAsia="PalatinoLinotype"/>
          <w:b w:val="0"/>
          <w:i w:val="0"/>
          <w:color w:val="020404"/>
          <w:sz w:val="18"/>
        </w:rPr>
        <w:t>Heading and Columns I, II and III ;</w:t>
      </w:r>
    </w:p>
    <w:p>
      <w:pPr>
        <w:autoSpaceDN w:val="0"/>
        <w:autoSpaceDE w:val="0"/>
        <w:widowControl/>
        <w:spacing w:line="233" w:lineRule="auto" w:before="202" w:after="254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13.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minister of Water Supply and Estate Infrastructure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514"/>
        </w:trPr>
        <w:tc>
          <w:tcPr>
            <w:tcW w:type="dxa" w:w="3512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Column I</w:t>
            </w:r>
          </w:p>
        </w:tc>
        <w:tc>
          <w:tcPr>
            <w:tcW w:type="dxa" w:w="3238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Column II</w:t>
            </w:r>
          </w:p>
        </w:tc>
        <w:tc>
          <w:tcPr>
            <w:tcW w:type="dxa" w:w="3080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Column III</w:t>
            </w:r>
          </w:p>
        </w:tc>
      </w:tr>
      <w:tr>
        <w:trPr>
          <w:trHeight w:hRule="exact" w:val="514"/>
        </w:trPr>
        <w:tc>
          <w:tcPr>
            <w:tcW w:type="dxa" w:w="3512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Duties &amp; Functions</w:t>
            </w:r>
          </w:p>
        </w:tc>
        <w:tc>
          <w:tcPr>
            <w:tcW w:type="dxa" w:w="3238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Departments, Statutory Institutions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and Public Corporations</w:t>
            </w:r>
          </w:p>
        </w:tc>
        <w:tc>
          <w:tcPr>
            <w:tcW w:type="dxa" w:w="3080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432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Implemented</w:t>
            </w:r>
          </w:p>
        </w:tc>
      </w:tr>
      <w:tr>
        <w:trPr>
          <w:trHeight w:hRule="exact" w:val="9496"/>
        </w:trPr>
        <w:tc>
          <w:tcPr>
            <w:tcW w:type="dxa" w:w="3512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8" w:after="0"/>
              <w:ind w:left="416" w:right="144" w:hanging="34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1. Formulation, implementation,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monitoring and evaluation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policies, programmes and projects,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relation to the subjects 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water supply, Estate Infrastructure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Development and all subjects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that come under the purview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Departments, Statutory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Statutory Institutions and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Corporations listed in Column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implemented by the government.</w:t>
            </w:r>
          </w:p>
          <w:p>
            <w:pPr>
              <w:autoSpaceDN w:val="0"/>
              <w:tabs>
                <w:tab w:pos="416" w:val="left"/>
              </w:tabs>
              <w:autoSpaceDE w:val="0"/>
              <w:widowControl/>
              <w:spacing w:line="247" w:lineRule="auto" w:before="20" w:after="0"/>
              <w:ind w:left="7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2. Provision of public services under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purview of the Ministry in 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efficient and people friendly manner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3. Reforming all systems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procedures using modern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management techniques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technology, thus ensuring that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functions of the Ministry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are fulfilled while eliminating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corruption and waste. </w:t>
            </w:r>
          </w:p>
          <w:p>
            <w:pPr>
              <w:autoSpaceDN w:val="0"/>
              <w:autoSpaceDE w:val="0"/>
              <w:widowControl/>
              <w:spacing w:line="245" w:lineRule="auto" w:before="20" w:after="0"/>
              <w:ind w:left="416" w:right="144" w:hanging="34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4. Taking necessary measures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provide clean drinking water to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citizens. </w:t>
            </w:r>
          </w:p>
          <w:p>
            <w:pPr>
              <w:autoSpaceDN w:val="0"/>
              <w:autoSpaceDE w:val="0"/>
              <w:widowControl/>
              <w:spacing w:line="245" w:lineRule="auto" w:before="20" w:after="0"/>
              <w:ind w:left="416" w:right="144" w:hanging="34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5. Inspect water supply services,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drainage systems and sanitary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facilities, formulate and implement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new plans for them and maintain. </w:t>
            </w:r>
          </w:p>
          <w:p>
            <w:pPr>
              <w:autoSpaceDN w:val="0"/>
              <w:autoSpaceDE w:val="0"/>
              <w:widowControl/>
              <w:spacing w:line="245" w:lineRule="auto" w:before="20" w:after="0"/>
              <w:ind w:left="416" w:right="288" w:hanging="34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6. Improvement of water security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urban water supply schemes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by coordinating rural tanks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reservoirs and irrigation systems.</w:t>
            </w:r>
          </w:p>
          <w:p>
            <w:pPr>
              <w:autoSpaceDN w:val="0"/>
              <w:tabs>
                <w:tab w:pos="416" w:val="left"/>
              </w:tabs>
              <w:autoSpaceDE w:val="0"/>
              <w:widowControl/>
              <w:spacing w:line="247" w:lineRule="auto" w:before="20" w:after="0"/>
              <w:ind w:left="7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7. Prevention of wastage of water 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drinking water distribution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8. Taking measures to carry out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community water supply projects 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an efficient and proper manner</w:t>
            </w:r>
          </w:p>
        </w:tc>
        <w:tc>
          <w:tcPr>
            <w:tcW w:type="dxa" w:w="3238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4" w:val="left"/>
              </w:tabs>
              <w:autoSpaceDE w:val="0"/>
              <w:widowControl/>
              <w:spacing w:line="250" w:lineRule="auto" w:before="38" w:after="0"/>
              <w:ind w:left="3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1. National Water Supply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Drainage Board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2.  Water Resources Board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3. Department of National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Community Water Supply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4. New Villages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Authority for Plantation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region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5. Plantation Human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Development Trust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6. Saumyamoorthi Thondaman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Memorial Foundation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7. Estate Sector Self-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Employment Revolving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Fund</w:t>
            </w:r>
          </w:p>
        </w:tc>
        <w:tc>
          <w:tcPr>
            <w:tcW w:type="dxa" w:w="3080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6" w:val="left"/>
              </w:tabs>
              <w:autoSpaceDE w:val="0"/>
              <w:widowControl/>
              <w:spacing w:line="245" w:lineRule="auto" w:before="14" w:after="0"/>
              <w:ind w:left="76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 •�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National Water Supply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Drainage Board Law, No. 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1974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 •�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Water Resources Board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29 of 1964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2"/>
              </w:rPr>
              <w:t>� •�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New Villages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Authority for Plantation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Region Act, No. 32 of 2018 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2"/>
              </w:rPr>
              <w:t>� •�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Saumyamoorthi Thondaman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Memorial Foundation Act No. </w:t>
            </w:r>
          </w:p>
          <w:p>
            <w:pPr>
              <w:autoSpaceDN w:val="0"/>
              <w:tabs>
                <w:tab w:pos="576" w:val="left"/>
              </w:tabs>
              <w:autoSpaceDE w:val="0"/>
              <w:widowControl/>
              <w:spacing w:line="245" w:lineRule="auto" w:before="20" w:after="0"/>
              <w:ind w:left="76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19 of 2005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20304"/>
                <w:sz w:val="22"/>
              </w:rPr>
              <w:t>� •�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304"/>
                <w:sz w:val="20"/>
              </w:rPr>
              <w:t xml:space="preserve"> All other legislations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304"/>
                <w:sz w:val="20"/>
              </w:rPr>
              <w:t xml:space="preserve">pertaining to the subjects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304"/>
                <w:sz w:val="20"/>
              </w:rPr>
              <w:t xml:space="preserve">specified in Column I and II,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304"/>
                <w:sz w:val="20"/>
              </w:rPr>
              <w:t xml:space="preserve">and not specifically brought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304"/>
                <w:sz w:val="20"/>
              </w:rPr>
              <w:t xml:space="preserve">under the purview of any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304"/>
                <w:sz w:val="20"/>
              </w:rPr>
              <w:t>other 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964" w:left="1100" w:header="720" w:footer="720" w:gutter="0"/>
          <w:cols w:space="720" w:num="1" w:equalWidth="0"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504"/>
        </w:trPr>
        <w:tc>
          <w:tcPr>
            <w:tcW w:type="dxa" w:w="936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- 2023'01'19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- 19.01.2023</w:t>
            </w:r>
          </w:p>
        </w:tc>
        <w:tc>
          <w:tcPr>
            <w:tcW w:type="dxa" w:w="48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3a</w:t>
            </w:r>
          </w:p>
        </w:tc>
      </w:tr>
    </w:tbl>
    <w:p>
      <w:pPr>
        <w:autoSpaceDN w:val="0"/>
        <w:autoSpaceDE w:val="0"/>
        <w:widowControl/>
        <w:spacing w:line="233" w:lineRule="auto" w:before="112" w:after="278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SChEDuLE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Contd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514"/>
        </w:trPr>
        <w:tc>
          <w:tcPr>
            <w:tcW w:type="dxa" w:w="3510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Column I</w:t>
            </w:r>
          </w:p>
        </w:tc>
        <w:tc>
          <w:tcPr>
            <w:tcW w:type="dxa" w:w="3240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Column II</w:t>
            </w:r>
          </w:p>
        </w:tc>
        <w:tc>
          <w:tcPr>
            <w:tcW w:type="dxa" w:w="3080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Column III</w:t>
            </w:r>
          </w:p>
        </w:tc>
      </w:tr>
      <w:tr>
        <w:trPr>
          <w:trHeight w:hRule="exact" w:val="514"/>
        </w:trPr>
        <w:tc>
          <w:tcPr>
            <w:tcW w:type="dxa" w:w="3510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Duties &amp; Functions</w:t>
            </w:r>
          </w:p>
        </w:tc>
        <w:tc>
          <w:tcPr>
            <w:tcW w:type="dxa" w:w="3240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Departments, Statutory Institutions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and Public Corporations</w:t>
            </w:r>
          </w:p>
        </w:tc>
        <w:tc>
          <w:tcPr>
            <w:tcW w:type="dxa" w:w="3080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432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Implemented</w:t>
            </w:r>
          </w:p>
        </w:tc>
      </w:tr>
      <w:tr>
        <w:trPr>
          <w:trHeight w:hRule="exact" w:val="10360"/>
        </w:trPr>
        <w:tc>
          <w:tcPr>
            <w:tcW w:type="dxa" w:w="3510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418" w:right="0" w:hanging="34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9. Maintenance and improvement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water supply projects to ensure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supply of safe drinking water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rural population. </w:t>
            </w:r>
          </w:p>
          <w:p>
            <w:pPr>
              <w:autoSpaceDN w:val="0"/>
              <w:tabs>
                <w:tab w:pos="418" w:val="left"/>
              </w:tabs>
              <w:autoSpaceDE w:val="0"/>
              <w:widowControl/>
              <w:spacing w:line="250" w:lineRule="auto" w:before="2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10. Stabilizing the drinking water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supply in rural areas, developing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reservoirs and feeder canals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conserving water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11. Acceleration of water distribution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projects associated with water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supply projects  implemented at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rural and regional levels by the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national irrigation system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12. Creation of new villages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townships aimed at developing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housing and infrastructure for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landless employed in government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privately owned plantation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companies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13. Adopting necessary measures for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provision of basic facilities,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livelihood generation and community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development projects including other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requirements for empowerment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plantation community economically,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socially and culturally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14. Development of basic infrastucture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rural estate sector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15. Establishing “People-Centric Boards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People-Centric Centers” giving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pride of place to estate sector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related community leadership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community participation.</w:t>
            </w:r>
          </w:p>
          <w:p>
            <w:pPr>
              <w:autoSpaceDN w:val="0"/>
              <w:autoSpaceDE w:val="0"/>
              <w:widowControl/>
              <w:spacing w:line="245" w:lineRule="auto" w:before="20" w:after="0"/>
              <w:ind w:left="418" w:right="432" w:hanging="34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16. Implement a special programme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ensure primary education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healthcare for children in estate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communities.</w:t>
            </w:r>
          </w:p>
          <w:p>
            <w:pPr>
              <w:autoSpaceDN w:val="0"/>
              <w:tabs>
                <w:tab w:pos="418" w:val="left"/>
              </w:tabs>
              <w:autoSpaceDE w:val="0"/>
              <w:widowControl/>
              <w:spacing w:line="247" w:lineRule="auto" w:before="2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17. Matters relating to all other subjects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assigned to Institutions listed in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Column II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18. Supervision of the Institutions listed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in Column II</w:t>
            </w:r>
          </w:p>
        </w:tc>
        <w:tc>
          <w:tcPr>
            <w:tcW w:type="dxa" w:w="3240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80"/>
            <w:tcBorders>
              <w:start w:sz="4.0" w:val="single" w:color="#020304"/>
              <w:top w:sz="4.0" w:val="single" w:color="#020304"/>
              <w:end w:sz="4.0" w:val="single" w:color="#020304"/>
              <w:bottom w:sz="4.0" w:val="single" w:color="#0203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1440" w:left="956" w:header="720" w:footer="720" w:gutter="0"/>
          <w:cols w:space="720" w:num="1" w:equalWidth="0">
            <w:col w:w="9869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4A</w:t>
            </w:r>
          </w:p>
        </w:tc>
        <w:tc>
          <w:tcPr>
            <w:tcW w:type="dxa" w:w="939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- 2023'01'19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- 19.01.2023</w:t>
            </w:r>
          </w:p>
        </w:tc>
      </w:tr>
      <w:tr>
        <w:trPr>
          <w:trHeight w:hRule="exact" w:val="386"/>
        </w:trPr>
        <w:tc>
          <w:tcPr>
            <w:tcW w:type="dxa" w:w="46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0" w:right="0" w:firstLine="0"/>
              <w:jc w:val="center"/>
            </w:pPr>
            <w:r>
              <w:rPr>
                <w:rFonts w:ascii="IskoolaPota" w:hAnsi="IskoolaPota" w:eastAsia="IskoolaPota"/>
                <w:b w:val="0"/>
                <w:i w:val="0"/>
                <w:color w:val="020404"/>
                <w:sz w:val="18"/>
              </w:rPr>
              <w:t>(2)</w:t>
            </w:r>
          </w:p>
        </w:tc>
        <w:tc>
          <w:tcPr>
            <w:tcW w:type="dxa" w:w="939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With reference to the Heading “No. 20. Minister of Urban Development and Housing” of the said Notification, </w:t>
            </w:r>
          </w:p>
        </w:tc>
      </w:tr>
    </w:tbl>
    <w:p>
      <w:pPr>
        <w:autoSpaceDN w:val="0"/>
        <w:tabs>
          <w:tab w:pos="1364" w:val="left"/>
          <w:tab w:pos="1526" w:val="left"/>
        </w:tabs>
        <w:autoSpaceDE w:val="0"/>
        <w:widowControl/>
        <w:spacing w:line="456" w:lineRule="auto" w:before="10" w:after="0"/>
        <w:ind w:left="792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as follows 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Column I thereof, by omitting items from 36 to 40;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Column I thereof, re-numbering of items 41 and 42 respectively, as numbers 36 and 37;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Column II thereof, by omitting items from 18 to 21;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Column III thereof, by omitting following items;</w:t>
      </w:r>
      <w:r>
        <w:tab/>
      </w:r>
      <w:r>
        <w:rPr>
          <w:rFonts w:ascii="SymbolMT" w:hAnsi="SymbolMT" w:eastAsia="SymbolMT"/>
          <w:b w:val="0"/>
          <w:i w:val="0"/>
          <w:color w:val="221F1F"/>
          <w:sz w:val="22"/>
        </w:rPr>
        <w:t>•�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New Villages Development Authority for Plantation Region Act, No. 32 of 2018 </w:t>
      </w:r>
      <w:r>
        <w:tab/>
      </w:r>
      <w:r>
        <w:rPr>
          <w:rFonts w:ascii="SymbolMT" w:hAnsi="SymbolMT" w:eastAsia="SymbolMT"/>
          <w:b w:val="0"/>
          <w:i w:val="0"/>
          <w:color w:val="221F1F"/>
          <w:sz w:val="22"/>
        </w:rPr>
        <w:t>•�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Saumyamoorthi Thondaman Memorial Foundation Act No. 19 of 2005</w:t>
      </w:r>
    </w:p>
    <w:p>
      <w:pPr>
        <w:autoSpaceDN w:val="0"/>
        <w:autoSpaceDE w:val="0"/>
        <w:widowControl/>
        <w:spacing w:line="233" w:lineRule="auto" w:before="652" w:after="0"/>
        <w:ind w:left="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EOG 01 - 0204</w:t>
      </w:r>
    </w:p>
    <w:p>
      <w:pPr>
        <w:autoSpaceDN w:val="0"/>
        <w:autoSpaceDE w:val="0"/>
        <w:widowControl/>
        <w:spacing w:line="233" w:lineRule="auto" w:before="8274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 w:val="0"/>
          <w:color w:val="221F1F"/>
          <w:sz w:val="14"/>
        </w:rPr>
        <w:t>PRINTED AT THE DEPARTMENT OF GOVERNMENT PRINTING,  SRI LANKA.</w:t>
      </w:r>
    </w:p>
    <w:sectPr w:rsidR="00FC693F" w:rsidRPr="0006063C" w:rsidSect="00034616">
      <w:pgSz w:w="11906" w:h="16838"/>
      <w:pgMar w:top="720" w:right="936" w:bottom="998" w:left="1100" w:header="720" w:footer="720" w:gutter="0"/>
      <w:cols w:space="720" w:num="1" w:equalWidth="0">
        <w:col w:w="9870" w:space="0"/>
        <w:col w:w="9869" w:space="0"/>
        <w:col w:w="9870" w:space="0"/>
        <w:col w:w="99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