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5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760729" cy="105537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0729" cy="10553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86" w:lineRule="auto" w:before="112" w:after="0"/>
        <w:ind w:left="144" w:right="144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64"/>
        </w:rPr>
        <w:t xml:space="preserve">Y%S ,xld m%cd;dka;%sl iudcjd§ ckrcfha .eiÜ m;%h </w:t>
      </w:r>
      <w:r>
        <w:rPr>
          <w:rFonts w:ascii="FMAbabldBold" w:hAnsi="FMAbabldBold" w:eastAsia="FMAbabldBold"/>
          <w:b/>
          <w:i w:val="0"/>
          <w:color w:val="221F1F"/>
          <w:sz w:val="36"/>
        </w:rPr>
        <w:t xml:space="preserve">w;s úfYI </w:t>
      </w:r>
      <w:r>
        <w:br/>
      </w:r>
      <w:r>
        <w:rPr>
          <w:rFonts w:ascii="TimesNewRomanPS" w:hAnsi="TimesNewRomanPS" w:eastAsia="TimesNewRomanPS"/>
          <w:b/>
          <w:i w:val="0"/>
          <w:color w:val="221F1F"/>
          <w:sz w:val="51"/>
        </w:rPr>
        <w:t xml:space="preserve">The Gazette of the Democratic Socialist Republic of Sri Lanka </w:t>
      </w:r>
      <w:r>
        <w:rPr>
          <w:rFonts w:ascii="TimesNewRomanPS" w:hAnsi="TimesNewRomanPS" w:eastAsia="TimesNewRomanPS"/>
          <w:b/>
          <w:i w:val="0"/>
          <w:color w:val="221F1F"/>
          <w:sz w:val="28"/>
        </w:rPr>
        <w:t>EXTRAORDINARY</w:t>
      </w:r>
    </w:p>
    <w:p>
      <w:pPr>
        <w:autoSpaceDN w:val="0"/>
        <w:autoSpaceDE w:val="0"/>
        <w:widowControl/>
        <w:spacing w:line="245" w:lineRule="auto" w:before="262" w:after="0"/>
        <w:ind w:left="1872" w:right="1872" w:firstLine="0"/>
        <w:jc w:val="center"/>
      </w:pPr>
      <w:r>
        <w:rPr>
          <w:rFonts w:ascii="FMAbabldBold" w:hAnsi="FMAbabldBold" w:eastAsia="FMAbabldBold"/>
          <w:b/>
          <w:i w:val="0"/>
          <w:color w:val="221F1F"/>
          <w:sz w:val="24"/>
        </w:rPr>
        <w:t xml:space="preserve">wxl 2303$17 - 2022 Tlaf;dan¾ ui 26 jeks nodod - 2022'10'26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No. 2303/17 -  WEDNESDay,   OctObEr  26,  2022</w:t>
      </w:r>
    </w:p>
    <w:p>
      <w:pPr>
        <w:autoSpaceDN w:val="0"/>
        <w:autoSpaceDE w:val="0"/>
        <w:widowControl/>
        <w:spacing w:line="230" w:lineRule="auto" w:before="244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16"/>
        </w:rPr>
        <w:t>(Published by Authority)</w:t>
      </w:r>
    </w:p>
    <w:p>
      <w:pPr>
        <w:autoSpaceDN w:val="0"/>
        <w:autoSpaceDE w:val="0"/>
        <w:widowControl/>
        <w:spacing w:line="230" w:lineRule="auto" w:before="16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6"/>
        </w:rPr>
        <w:t>PART I : SECTION (I) — GENERAL</w:t>
      </w:r>
    </w:p>
    <w:p>
      <w:pPr>
        <w:autoSpaceDN w:val="0"/>
        <w:autoSpaceDE w:val="0"/>
        <w:widowControl/>
        <w:spacing w:line="230" w:lineRule="auto" w:before="222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32"/>
        </w:rPr>
        <w:t>Government Notifications</w:t>
      </w:r>
    </w:p>
    <w:p>
      <w:pPr>
        <w:autoSpaceDN w:val="0"/>
        <w:autoSpaceDE w:val="0"/>
        <w:widowControl/>
        <w:spacing w:line="230" w:lineRule="auto" w:before="196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ThE CONSTITuTION Of ThE DEmOCRATIC SOCIALIST REPubLIC Of SRI LANkA</w:t>
      </w:r>
    </w:p>
    <w:p>
      <w:pPr>
        <w:autoSpaceDN w:val="0"/>
        <w:autoSpaceDE w:val="0"/>
        <w:widowControl/>
        <w:spacing w:line="230" w:lineRule="auto" w:before="310" w:after="0"/>
        <w:ind w:left="0" w:right="0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2"/>
        </w:rPr>
        <w:t>Notification</w:t>
      </w:r>
    </w:p>
    <w:p>
      <w:pPr>
        <w:autoSpaceDN w:val="0"/>
        <w:autoSpaceDE w:val="0"/>
        <w:widowControl/>
        <w:spacing w:line="245" w:lineRule="auto" w:before="254" w:after="0"/>
        <w:ind w:left="44" w:right="2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It is hereby notified that the notification issued by me in the exercise of powers vested in me under Paragraph (1) (a)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Article 44 of the Constitution of the Democratic Socialist Republic of Sri Lanka and published in the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 xml:space="preserve">Gazette </w:t>
      </w:r>
      <w:r>
        <w:rPr>
          <w:rFonts w:ascii="TimesNewRomanPS" w:hAnsi="TimesNewRomanPS" w:eastAsia="TimesNewRomanPS"/>
          <w:b w:val="0"/>
          <w:i/>
          <w:color w:val="221F1F"/>
          <w:sz w:val="20"/>
        </w:rPr>
        <w:t>Extraordinary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No. 2289/43 of July 22, 2022, and amended from time to time, is further amended with effect from October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27, 2022 in the manner set out in the schedule below.</w:t>
      </w:r>
    </w:p>
    <w:p>
      <w:pPr>
        <w:autoSpaceDN w:val="0"/>
        <w:autoSpaceDE w:val="0"/>
        <w:widowControl/>
        <w:spacing w:line="245" w:lineRule="auto" w:before="498" w:after="0"/>
        <w:ind w:left="7632" w:right="144" w:firstLine="0"/>
        <w:jc w:val="center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>R</w:t>
      </w:r>
      <w:r>
        <w:rPr>
          <w:rFonts w:ascii="TimesNewRomanPS" w:hAnsi="TimesNewRomanPS" w:eastAsia="TimesNewRomanPS"/>
          <w:b/>
          <w:i w:val="0"/>
          <w:color w:val="221F1F"/>
          <w:sz w:val="14"/>
        </w:rPr>
        <w:t>anil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 W</w:t>
      </w:r>
      <w:r>
        <w:rPr>
          <w:rFonts w:ascii="TimesNewRomanPS" w:hAnsi="TimesNewRomanPS" w:eastAsia="TimesNewRomanPS"/>
          <w:b/>
          <w:i w:val="0"/>
          <w:color w:val="221F1F"/>
          <w:sz w:val="14"/>
        </w:rPr>
        <w:t>ickRemesinghe</w:t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President.</w:t>
      </w:r>
    </w:p>
    <w:p>
      <w:pPr>
        <w:autoSpaceDN w:val="0"/>
        <w:autoSpaceDE w:val="0"/>
        <w:widowControl/>
        <w:spacing w:line="245" w:lineRule="auto" w:before="18" w:after="0"/>
        <w:ind w:left="44" w:right="79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Presidential Secretariat,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colombo - 01, </w:t>
      </w:r>
      <w:r>
        <w:br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October 26, 2022. </w:t>
      </w:r>
    </w:p>
    <w:p>
      <w:pPr>
        <w:autoSpaceDN w:val="0"/>
        <w:autoSpaceDE w:val="0"/>
        <w:widowControl/>
        <w:spacing w:line="240" w:lineRule="auto" w:before="1884" w:after="0"/>
        <w:ind w:left="0" w:right="3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481330" cy="48133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30" cy="4813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80" w:after="0"/>
        <w:ind w:left="70" w:right="489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20404"/>
          <w:sz w:val="14"/>
        </w:rPr>
        <w:t xml:space="preserve">1a- G 37870 - 17 (10/2022) </w:t>
      </w:r>
      <w:r>
        <w:br/>
      </w:r>
      <w:r>
        <w:rPr>
          <w:rFonts w:ascii="TimesNewRomanPS" w:hAnsi="TimesNewRomanPS" w:eastAsia="TimesNewRomanPS"/>
          <w:b w:val="0"/>
          <w:i/>
          <w:color w:val="020404"/>
          <w:sz w:val="16"/>
        </w:rPr>
        <w:t xml:space="preserve">This Gazette Extraordinary can be downloaded from </w:t>
      </w:r>
      <w:r>
        <w:rPr>
          <w:rFonts w:ascii="TimesNewRomanPSMT" w:hAnsi="TimesNewRomanPSMT" w:eastAsia="TimesNewRomanPSMT"/>
          <w:b w:val="0"/>
          <w:i w:val="0"/>
          <w:color w:val="020404"/>
          <w:sz w:val="16"/>
        </w:rPr>
        <w:t>www.documents.gov.lk</w:t>
      </w:r>
    </w:p>
    <w:p>
      <w:pPr>
        <w:sectPr>
          <w:pgSz w:w="11906" w:h="16838"/>
          <w:pgMar w:top="874" w:right="1036" w:bottom="790" w:left="936" w:header="720" w:footer="720" w:gutter="0"/>
          <w:cols w:space="720" w:num="1" w:equalWidth="0"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958"/>
        <w:gridCol w:w="4958"/>
      </w:tblGrid>
      <w:tr>
        <w:trPr>
          <w:trHeight w:hRule="exact" w:val="484"/>
        </w:trPr>
        <w:tc>
          <w:tcPr>
            <w:tcW w:type="dxa" w:w="44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2a</w:t>
            </w:r>
          </w:p>
        </w:tc>
        <w:tc>
          <w:tcPr>
            <w:tcW w:type="dxa" w:w="941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 xml:space="preserve">&amp; fPoh - YS% ,xld m%cd;dka;s%l iudcjd§ ckrcfha w;s úfYI .eiÜ m;%h - 2022'10'26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- 26.10.2022</w:t>
            </w:r>
          </w:p>
        </w:tc>
      </w:tr>
    </w:tbl>
    <w:p>
      <w:pPr>
        <w:autoSpaceDN w:val="0"/>
        <w:autoSpaceDE w:val="0"/>
        <w:widowControl/>
        <w:spacing w:line="233" w:lineRule="auto" w:before="76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SCHEDULE</w:t>
      </w:r>
    </w:p>
    <w:p>
      <w:pPr>
        <w:autoSpaceDN w:val="0"/>
        <w:tabs>
          <w:tab w:pos="606" w:val="left"/>
        </w:tabs>
        <w:autoSpaceDE w:val="0"/>
        <w:widowControl/>
        <w:spacing w:line="233" w:lineRule="auto" w:before="278" w:after="0"/>
        <w:ind w:left="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With reference to the Heading “No.01. Minister of Defence” of the said notification, as follows :-</w:t>
      </w:r>
    </w:p>
    <w:p>
      <w:pPr>
        <w:autoSpaceDN w:val="0"/>
        <w:autoSpaceDE w:val="0"/>
        <w:widowControl/>
        <w:spacing w:line="233" w:lineRule="auto" w:before="338" w:after="0"/>
        <w:ind w:left="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(a) In Column I thereof, by omitting item 25 ;</w:t>
      </w:r>
    </w:p>
    <w:p>
      <w:pPr>
        <w:autoSpaceDN w:val="0"/>
        <w:autoSpaceDE w:val="0"/>
        <w:widowControl/>
        <w:spacing w:line="233" w:lineRule="auto" w:before="58" w:after="0"/>
        <w:ind w:left="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(b) In Column I thereof, re-numbering of items 26 and 27 respectively, as numbers 25 to 26 ;</w:t>
      </w:r>
    </w:p>
    <w:p>
      <w:pPr>
        <w:autoSpaceDN w:val="0"/>
        <w:autoSpaceDE w:val="0"/>
        <w:widowControl/>
        <w:spacing w:line="233" w:lineRule="auto" w:before="58" w:after="0"/>
        <w:ind w:left="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(c) In Column II thereof, by omitting item 27 ;</w:t>
      </w:r>
    </w:p>
    <w:p>
      <w:pPr>
        <w:autoSpaceDN w:val="0"/>
        <w:autoSpaceDE w:val="0"/>
        <w:widowControl/>
        <w:spacing w:line="233" w:lineRule="auto" w:before="58" w:after="0"/>
        <w:ind w:left="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(d) In Column III thereof, by omitting the following item ;</w:t>
      </w:r>
    </w:p>
    <w:p>
      <w:pPr>
        <w:autoSpaceDN w:val="0"/>
        <w:tabs>
          <w:tab w:pos="1826" w:val="left"/>
        </w:tabs>
        <w:autoSpaceDE w:val="0"/>
        <w:widowControl/>
        <w:spacing w:line="233" w:lineRule="auto" w:before="338" w:after="0"/>
        <w:ind w:left="14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Sri Lanka Telecommunications Act, No. 25 of 1991</w:t>
      </w:r>
    </w:p>
    <w:p>
      <w:pPr>
        <w:autoSpaceDN w:val="0"/>
        <w:tabs>
          <w:tab w:pos="606" w:val="left"/>
        </w:tabs>
        <w:autoSpaceDE w:val="0"/>
        <w:widowControl/>
        <w:spacing w:line="233" w:lineRule="auto" w:before="338" w:after="0"/>
        <w:ind w:left="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With reference to the Heading, “No. 02. Minister of Finance, Economic Stabilization and National Policy” of the said </w:t>
      </w:r>
    </w:p>
    <w:p>
      <w:pPr>
        <w:autoSpaceDN w:val="0"/>
        <w:autoSpaceDE w:val="0"/>
        <w:widowControl/>
        <w:spacing w:line="233" w:lineRule="auto" w:before="18" w:after="0"/>
        <w:ind w:left="6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notification, as follows:-</w:t>
      </w:r>
    </w:p>
    <w:p>
      <w:pPr>
        <w:autoSpaceDN w:val="0"/>
        <w:autoSpaceDE w:val="0"/>
        <w:widowControl/>
        <w:spacing w:line="233" w:lineRule="auto" w:before="298" w:after="0"/>
        <w:ind w:left="7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(a)  In Column II thereof, by omitting the following item ;</w:t>
      </w:r>
    </w:p>
    <w:p>
      <w:pPr>
        <w:autoSpaceDN w:val="0"/>
        <w:autoSpaceDE w:val="0"/>
        <w:widowControl/>
        <w:spacing w:line="233" w:lineRule="auto" w:before="258" w:after="0"/>
        <w:ind w:left="14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32. Department of the Registrar of Companies</w:t>
      </w:r>
    </w:p>
    <w:p>
      <w:pPr>
        <w:autoSpaceDN w:val="0"/>
        <w:autoSpaceDE w:val="0"/>
        <w:widowControl/>
        <w:spacing w:line="233" w:lineRule="auto" w:before="258" w:after="0"/>
        <w:ind w:left="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(b)  In Column III thereof, by omitting the following items;</w:t>
      </w:r>
    </w:p>
    <w:p>
      <w:pPr>
        <w:autoSpaceDN w:val="0"/>
        <w:tabs>
          <w:tab w:pos="1806" w:val="left"/>
        </w:tabs>
        <w:autoSpaceDE w:val="0"/>
        <w:widowControl/>
        <w:spacing w:line="233" w:lineRule="auto" w:before="298" w:after="0"/>
        <w:ind w:left="14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Business Names Act, No. 07 of 1987</w:t>
      </w:r>
    </w:p>
    <w:p>
      <w:pPr>
        <w:autoSpaceDN w:val="0"/>
        <w:tabs>
          <w:tab w:pos="1806" w:val="left"/>
        </w:tabs>
        <w:autoSpaceDE w:val="0"/>
        <w:widowControl/>
        <w:spacing w:line="233" w:lineRule="auto" w:before="58" w:after="0"/>
        <w:ind w:left="14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Companies Act, No. 07 of 2007</w:t>
      </w:r>
    </w:p>
    <w:p>
      <w:pPr>
        <w:autoSpaceDN w:val="0"/>
        <w:tabs>
          <w:tab w:pos="1806" w:val="left"/>
        </w:tabs>
        <w:autoSpaceDE w:val="0"/>
        <w:widowControl/>
        <w:spacing w:line="233" w:lineRule="auto" w:before="58" w:after="0"/>
        <w:ind w:left="14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Trade Marks Act, No. 30 of 1964</w:t>
      </w:r>
    </w:p>
    <w:p>
      <w:pPr>
        <w:autoSpaceDN w:val="0"/>
        <w:tabs>
          <w:tab w:pos="1806" w:val="left"/>
        </w:tabs>
        <w:autoSpaceDE w:val="0"/>
        <w:widowControl/>
        <w:spacing w:line="233" w:lineRule="auto" w:before="58" w:after="0"/>
        <w:ind w:left="14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Cheetus Ordinance No. 61 of 1935</w:t>
      </w:r>
    </w:p>
    <w:p>
      <w:pPr>
        <w:autoSpaceDN w:val="0"/>
        <w:tabs>
          <w:tab w:pos="1806" w:val="left"/>
        </w:tabs>
        <w:autoSpaceDE w:val="0"/>
        <w:widowControl/>
        <w:spacing w:line="233" w:lineRule="auto" w:before="58" w:after="0"/>
        <w:ind w:left="14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Public Contract Act, No. 03 0f 1987</w:t>
      </w:r>
    </w:p>
    <w:p>
      <w:pPr>
        <w:autoSpaceDN w:val="0"/>
        <w:tabs>
          <w:tab w:pos="606" w:val="left"/>
        </w:tabs>
        <w:autoSpaceDE w:val="0"/>
        <w:widowControl/>
        <w:spacing w:line="233" w:lineRule="auto" w:before="338" w:after="0"/>
        <w:ind w:left="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With reference to the Heading, “No. 14. Minister of Agriculture” of the said  notification, as follows:-</w:t>
      </w:r>
    </w:p>
    <w:p>
      <w:pPr>
        <w:autoSpaceDN w:val="0"/>
        <w:autoSpaceDE w:val="0"/>
        <w:widowControl/>
        <w:spacing w:line="233" w:lineRule="auto" w:before="298" w:after="0"/>
        <w:ind w:left="7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(a) In Column II thereof, by omitting item 8 ;</w:t>
      </w:r>
    </w:p>
    <w:p>
      <w:pPr>
        <w:autoSpaceDN w:val="0"/>
        <w:autoSpaceDE w:val="0"/>
        <w:widowControl/>
        <w:spacing w:line="233" w:lineRule="auto" w:before="58" w:after="0"/>
        <w:ind w:left="7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(b) In Column II thereof, re-numbering of items 9 to 17 respectively, as numbers 8 to 16 ;</w:t>
      </w:r>
    </w:p>
    <w:p>
      <w:pPr>
        <w:autoSpaceDN w:val="0"/>
        <w:tabs>
          <w:tab w:pos="606" w:val="left"/>
        </w:tabs>
        <w:autoSpaceDE w:val="0"/>
        <w:widowControl/>
        <w:spacing w:line="233" w:lineRule="auto" w:before="338" w:after="0"/>
        <w:ind w:left="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With reference to the Heading, “ No. 19.  Minister of  Industries” of the said  notification, as follows:-</w:t>
      </w:r>
    </w:p>
    <w:p>
      <w:pPr>
        <w:autoSpaceDN w:val="0"/>
        <w:autoSpaceDE w:val="0"/>
        <w:widowControl/>
        <w:spacing w:line="233" w:lineRule="auto" w:before="298" w:after="0"/>
        <w:ind w:left="7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(a) In Column II thereof, by omitting item 7 ;</w:t>
      </w:r>
    </w:p>
    <w:p>
      <w:pPr>
        <w:autoSpaceDN w:val="0"/>
        <w:autoSpaceDE w:val="0"/>
        <w:widowControl/>
        <w:spacing w:line="233" w:lineRule="auto" w:before="58" w:after="0"/>
        <w:ind w:left="7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(b) In Column II thereof, re-numbering of items 8 to 28 respectively, as numbers 7  to 27 ;</w:t>
      </w:r>
    </w:p>
    <w:p>
      <w:pPr>
        <w:autoSpaceDN w:val="0"/>
        <w:autoSpaceDE w:val="0"/>
        <w:widowControl/>
        <w:spacing w:line="233" w:lineRule="auto" w:before="58" w:after="0"/>
        <w:ind w:left="72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(c) In Column II thereof, by insertion of the following items immediately after item  27 ;</w:t>
      </w:r>
    </w:p>
    <w:p>
      <w:pPr>
        <w:autoSpaceDN w:val="0"/>
        <w:autoSpaceDE w:val="0"/>
        <w:widowControl/>
        <w:spacing w:line="233" w:lineRule="auto" w:before="338" w:after="0"/>
        <w:ind w:left="14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28.  Department of the Registrar of Companies</w:t>
      </w:r>
    </w:p>
    <w:p>
      <w:pPr>
        <w:autoSpaceDN w:val="0"/>
        <w:autoSpaceDE w:val="0"/>
        <w:widowControl/>
        <w:spacing w:line="233" w:lineRule="auto" w:before="58" w:after="0"/>
        <w:ind w:left="144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29.  Lanka Posphate Limited</w:t>
      </w:r>
    </w:p>
    <w:p>
      <w:pPr>
        <w:autoSpaceDN w:val="0"/>
        <w:autoSpaceDE w:val="0"/>
        <w:widowControl/>
        <w:spacing w:line="233" w:lineRule="auto" w:before="338" w:after="0"/>
        <w:ind w:left="70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(d) In Column III thereof, by insertion the following items after the item “Science and Technology Development </w:t>
      </w:r>
    </w:p>
    <w:p>
      <w:pPr>
        <w:autoSpaceDN w:val="0"/>
        <w:autoSpaceDE w:val="0"/>
        <w:widowControl/>
        <w:spacing w:line="233" w:lineRule="auto" w:before="18" w:after="0"/>
        <w:ind w:left="10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Act, No. 11 of 1994” ;</w:t>
      </w:r>
    </w:p>
    <w:p>
      <w:pPr>
        <w:autoSpaceDN w:val="0"/>
        <w:tabs>
          <w:tab w:pos="1826" w:val="left"/>
        </w:tabs>
        <w:autoSpaceDE w:val="0"/>
        <w:widowControl/>
        <w:spacing w:line="233" w:lineRule="auto" w:before="298" w:after="0"/>
        <w:ind w:left="14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Business Names Act, No. 07 of 1987</w:t>
      </w:r>
    </w:p>
    <w:p>
      <w:pPr>
        <w:autoSpaceDN w:val="0"/>
        <w:tabs>
          <w:tab w:pos="1826" w:val="left"/>
        </w:tabs>
        <w:autoSpaceDE w:val="0"/>
        <w:widowControl/>
        <w:spacing w:line="233" w:lineRule="auto" w:before="58" w:after="0"/>
        <w:ind w:left="14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Companies Act, No. 07 of 2007</w:t>
      </w:r>
    </w:p>
    <w:p>
      <w:pPr>
        <w:autoSpaceDN w:val="0"/>
        <w:tabs>
          <w:tab w:pos="1826" w:val="left"/>
        </w:tabs>
        <w:autoSpaceDE w:val="0"/>
        <w:widowControl/>
        <w:spacing w:line="233" w:lineRule="auto" w:before="58" w:after="0"/>
        <w:ind w:left="14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Trade Marks Act, No. 30 of 1964</w:t>
      </w:r>
    </w:p>
    <w:p>
      <w:pPr>
        <w:autoSpaceDN w:val="0"/>
        <w:tabs>
          <w:tab w:pos="1826" w:val="left"/>
        </w:tabs>
        <w:autoSpaceDE w:val="0"/>
        <w:widowControl/>
        <w:spacing w:line="233" w:lineRule="auto" w:before="58" w:after="0"/>
        <w:ind w:left="14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Cheetus Ordinance No. 61 of 1935</w:t>
      </w:r>
    </w:p>
    <w:p>
      <w:pPr>
        <w:autoSpaceDN w:val="0"/>
        <w:tabs>
          <w:tab w:pos="1826" w:val="left"/>
        </w:tabs>
        <w:autoSpaceDE w:val="0"/>
        <w:widowControl/>
        <w:spacing w:line="233" w:lineRule="auto" w:before="58" w:after="0"/>
        <w:ind w:left="14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Public Contract Act, No. 03 0f 1987</w:t>
      </w:r>
    </w:p>
    <w:p>
      <w:pPr>
        <w:sectPr>
          <w:pgSz w:w="11906" w:h="16838"/>
          <w:pgMar w:top="720" w:right="890" w:bottom="978" w:left="1100" w:header="720" w:footer="720" w:gutter="0"/>
          <w:cols w:space="720" w:num="1" w:equalWidth="0">
            <w:col w:w="9916" w:space="0"/>
            <w:col w:w="993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305"/>
        <w:gridCol w:w="3305"/>
        <w:gridCol w:w="3305"/>
      </w:tblGrid>
      <w:tr>
        <w:trPr>
          <w:trHeight w:hRule="exact" w:val="240"/>
        </w:trPr>
        <w:tc>
          <w:tcPr>
            <w:tcW w:type="dxa" w:w="444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8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I 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fldgi ( ^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I</w:t>
            </w:r>
            <w:r>
              <w:rPr>
                <w:rFonts w:ascii="FMAbabldBold" w:hAnsi="FMAbabldBold" w:eastAsia="FMAbabldBold"/>
                <w:b/>
                <w:i w:val="0"/>
                <w:color w:val="221F1F"/>
                <w:sz w:val="20"/>
              </w:rPr>
              <w:t>&amp; fPoh - YS% ,xld m%cd;dka;s%l iudcjd§ ckrcfha w;s úfYI .eiÜ m;%h - 2022'10'26</w:t>
            </w:r>
          </w:p>
        </w:tc>
        <w:tc>
          <w:tcPr>
            <w:tcW w:type="dxa" w:w="486"/>
            <w:vMerge w:val="restart"/>
            <w:tcBorders>
              <w:bottom w:sz="4.0" w:val="single" w:color="#221F1F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0" w:after="0"/>
              <w:ind w:left="0" w:right="34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3a</w:t>
            </w:r>
          </w:p>
        </w:tc>
      </w:tr>
      <w:tr>
        <w:trPr>
          <w:trHeight w:hRule="exact" w:val="264"/>
        </w:trPr>
        <w:tc>
          <w:tcPr>
            <w:tcW w:type="dxa" w:w="3305"/>
            <w:vMerge/>
            <w:tcBorders>
              <w:bottom w:sz="4.0" w:val="single" w:color="#221F1F"/>
            </w:tcBorders>
          </w:tcPr>
          <w:p/>
        </w:tc>
        <w:tc>
          <w:tcPr>
            <w:tcW w:type="dxa" w:w="8920"/>
            <w:tcBorders>
              <w:bottom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P</w:t>
            </w:r>
            <w:r>
              <w:rPr>
                <w:w w:val="101.81818008422852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art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I 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S</w:t>
            </w:r>
            <w:r>
              <w:rPr>
                <w:w w:val="101.81818008422852"/>
                <w:rFonts w:ascii="TimesNewRomanPSMT" w:hAnsi="TimesNewRomanPSMT" w:eastAsia="TimesNewRomanPSMT"/>
                <w:b w:val="0"/>
                <w:i w:val="0"/>
                <w:color w:val="221F1F"/>
                <w:sz w:val="11"/>
              </w:rPr>
              <w:t>ec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 (I) - GAZETTE EXTRAORDINARY OF THE DEMOCRATIC SOCIALIST REPUBLIC OF SRI LANKA - 26.10.2022</w:t>
            </w:r>
          </w:p>
        </w:tc>
        <w:tc>
          <w:tcPr>
            <w:tcW w:type="dxa" w:w="3305"/>
            <w:vMerge/>
            <w:tcBorders>
              <w:bottom w:sz="4.0" w:val="single" w:color="#221F1F"/>
            </w:tcBorders>
          </w:tcPr>
          <w:p/>
        </w:tc>
      </w:tr>
      <w:tr>
        <w:trPr>
          <w:trHeight w:hRule="exact" w:val="358"/>
        </w:trPr>
        <w:tc>
          <w:tcPr>
            <w:tcW w:type="dxa" w:w="444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 xml:space="preserve">(5) </w:t>
            </w:r>
          </w:p>
        </w:tc>
        <w:tc>
          <w:tcPr>
            <w:tcW w:type="dxa" w:w="8920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7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20"/>
              </w:rPr>
              <w:t>With reference to the Heading, “No. 03. Minister of Technology” of the said  notification, as follows:-</w:t>
            </w:r>
          </w:p>
        </w:tc>
        <w:tc>
          <w:tcPr>
            <w:tcW w:type="dxa" w:w="486"/>
            <w:tcBorders>
              <w:top w:sz="4.0" w:val="single" w:color="#221F1F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autoSpaceDE w:val="0"/>
        <w:widowControl/>
        <w:spacing w:line="233" w:lineRule="auto" w:before="278" w:after="0"/>
        <w:ind w:left="7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(a) In Column I thereof, by insertion of the following items immediately after item 10 ;</w:t>
      </w:r>
    </w:p>
    <w:p>
      <w:pPr>
        <w:autoSpaceDN w:val="0"/>
        <w:autoSpaceDE w:val="0"/>
        <w:widowControl/>
        <w:spacing w:line="233" w:lineRule="auto" w:before="338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11.  Promote sustained development in the telecommunication industry by shaping the regulatory process, </w:t>
      </w:r>
    </w:p>
    <w:p>
      <w:pPr>
        <w:autoSpaceDN w:val="0"/>
        <w:autoSpaceDE w:val="0"/>
        <w:widowControl/>
        <w:spacing w:line="233" w:lineRule="auto" w:before="18" w:after="0"/>
        <w:ind w:left="17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protecting public interest and being responsive to challenges in an increasingly competitive market</w:t>
      </w:r>
    </w:p>
    <w:p>
      <w:pPr>
        <w:autoSpaceDN w:val="0"/>
        <w:autoSpaceDE w:val="0"/>
        <w:widowControl/>
        <w:spacing w:line="233" w:lineRule="auto" w:before="58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12.  Matters relating to expansion of digital technology ventures.</w:t>
      </w:r>
    </w:p>
    <w:p>
      <w:pPr>
        <w:autoSpaceDN w:val="0"/>
        <w:autoSpaceDE w:val="0"/>
        <w:widowControl/>
        <w:spacing w:line="233" w:lineRule="auto" w:before="58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13.  Providing technical assistance to relevant Ministries for developing Green Technology Projects.</w:t>
      </w:r>
    </w:p>
    <w:p>
      <w:pPr>
        <w:autoSpaceDN w:val="0"/>
        <w:autoSpaceDE w:val="0"/>
        <w:widowControl/>
        <w:spacing w:line="233" w:lineRule="auto" w:before="338" w:after="0"/>
        <w:ind w:left="7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(b) In Column I thereof, re-numbering of items 11 and 12 respectively, as numbers 14 and 15 ;</w:t>
      </w:r>
    </w:p>
    <w:p>
      <w:pPr>
        <w:autoSpaceDN w:val="0"/>
        <w:autoSpaceDE w:val="0"/>
        <w:widowControl/>
        <w:spacing w:line="233" w:lineRule="auto" w:before="338" w:after="0"/>
        <w:ind w:left="7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(c) In Column II thereof, by insertion of the following item immediately after item 4 ;</w:t>
      </w:r>
    </w:p>
    <w:p>
      <w:pPr>
        <w:autoSpaceDN w:val="0"/>
        <w:autoSpaceDE w:val="0"/>
        <w:widowControl/>
        <w:spacing w:line="233" w:lineRule="auto" w:before="338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5.  Telecommunication Regulatory Commission of Sri Lanka and Allied Institutions </w:t>
      </w:r>
    </w:p>
    <w:p>
      <w:pPr>
        <w:autoSpaceDN w:val="0"/>
        <w:autoSpaceDE w:val="0"/>
        <w:widowControl/>
        <w:spacing w:line="233" w:lineRule="auto" w:before="58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6.  Centre of Excellence for Robotic Applications</w:t>
      </w:r>
    </w:p>
    <w:p>
      <w:pPr>
        <w:autoSpaceDN w:val="0"/>
        <w:autoSpaceDE w:val="0"/>
        <w:widowControl/>
        <w:spacing w:line="233" w:lineRule="auto" w:before="338" w:after="0"/>
        <w:ind w:left="7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(d) In Column III thereof, by insertion the following items after the item “Sri Lanka Standard Institute Act, </w:t>
      </w:r>
    </w:p>
    <w:p>
      <w:pPr>
        <w:autoSpaceDN w:val="0"/>
        <w:autoSpaceDE w:val="0"/>
        <w:widowControl/>
        <w:spacing w:line="233" w:lineRule="auto" w:before="18" w:after="0"/>
        <w:ind w:left="108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No. 6 of 1984” ;</w:t>
      </w:r>
    </w:p>
    <w:p>
      <w:pPr>
        <w:autoSpaceDN w:val="0"/>
        <w:tabs>
          <w:tab w:pos="1804" w:val="left"/>
        </w:tabs>
        <w:autoSpaceDE w:val="0"/>
        <w:widowControl/>
        <w:spacing w:line="233" w:lineRule="auto" w:before="338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Sri Lanka Telecommunications Act, No. 25 of 1991</w:t>
      </w:r>
    </w:p>
    <w:p>
      <w:pPr>
        <w:autoSpaceDN w:val="0"/>
        <w:tabs>
          <w:tab w:pos="1804" w:val="left"/>
        </w:tabs>
        <w:autoSpaceDE w:val="0"/>
        <w:widowControl/>
        <w:spacing w:line="233" w:lineRule="auto" w:before="58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•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Personal Data Protection Act, No. 9 of 2022</w:t>
      </w:r>
    </w:p>
    <w:p>
      <w:pPr>
        <w:autoSpaceDN w:val="0"/>
        <w:autoSpaceDE w:val="0"/>
        <w:widowControl/>
        <w:spacing w:line="233" w:lineRule="auto" w:before="338" w:after="0"/>
        <w:ind w:left="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EOG  10 - 0237</w:t>
      </w:r>
    </w:p>
    <w:p>
      <w:pPr>
        <w:autoSpaceDN w:val="0"/>
        <w:autoSpaceDE w:val="0"/>
        <w:widowControl/>
        <w:spacing w:line="233" w:lineRule="auto" w:before="6712" w:after="0"/>
        <w:ind w:left="0" w:right="25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PRINTED AT THE DEPARTMENT OF GOVERNMENT PRINTING,  SRI LANKA.</w:t>
      </w:r>
    </w:p>
    <w:sectPr w:rsidR="00FC693F" w:rsidRPr="0006063C" w:rsidSect="00034616">
      <w:pgSz w:w="11906" w:h="16838"/>
      <w:pgMar w:top="710" w:right="1036" w:bottom="834" w:left="956" w:header="720" w:footer="720" w:gutter="0"/>
      <w:cols w:space="720" w:num="1" w:equalWidth="0">
        <w:col w:w="9914" w:space="0"/>
        <w:col w:w="9916" w:space="0"/>
        <w:col w:w="993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