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宋体"/>
          <w:b/>
          <w:color w:val="000000"/>
          <w:sz w:val="48"/>
        </w:rPr>
        <w:t>DCT v2.3 方法与模块说明</w:t>
      </w:r>
    </w:p>
    <w:p>
      <w:pPr>
        <w:spacing w:after="160" w:line="293" w:lineRule="auto"/>
      </w:pPr>
      <w:r>
        <w:rPr>
          <w:rFonts w:ascii="Calibri" w:hAnsi="Calibri" w:eastAsia="宋体"/>
          <w:b/>
          <w:color w:val="000000"/>
          <w:sz w:val="22"/>
        </w:rPr>
        <w:t>版本开始日期</w:t>
      </w:r>
      <w:r>
        <w:rPr>
          <w:rFonts w:ascii="Calibri" w:hAnsi="Calibri" w:eastAsia="宋体"/>
          <w:b w:val="0"/>
          <w:color w:val="000000"/>
          <w:sz w:val="22"/>
        </w:rPr>
        <w:t xml:space="preserve"> 2026年10月14日  交付核查日期 2026年10月15日</w:t>
      </w:r>
    </w:p>
    <w:p>
      <w:pPr>
        <w:spacing w:after="160" w:line="293" w:lineRule="auto"/>
      </w:pPr>
      <w:r>
        <w:rPr>
          <w:rFonts w:ascii="Calibri" w:hAnsi="Calibri" w:eastAsia="宋体"/>
          <w:b w:val="0"/>
          <w:color w:val="000000"/>
          <w:sz w:val="22"/>
        </w:rPr>
        <w:t>本版本把严格遮盖的原始基因恢复接入独立 DCT，并用训练折内部的患者外预测收益监督既有运输成本。重构回答“病理能否补回隐藏的分子信息”，收益校准回答“哪些跨模态交换值得优先考虑”。最终任务仍是患者生存预测。</w:t>
      </w:r>
    </w:p>
    <w:p>
      <w:pPr>
        <w:pStyle w:val="Heading1"/>
        <w:spacing w:before="240" w:after="160"/>
      </w:pPr>
      <w:r>
        <w:rPr>
          <w:rFonts w:ascii="Calibri" w:hAnsi="Calibri" w:eastAsia="宋体"/>
          <w:b/>
          <w:color w:val="000000"/>
          <w:sz w:val="30"/>
        </w:rPr>
        <w:t>1 要解决的问题</w:t>
      </w:r>
    </w:p>
    <w:p>
      <w:pPr>
        <w:spacing w:after="160" w:line="293" w:lineRule="auto"/>
      </w:pPr>
      <w:r>
        <w:rPr>
          <w:rFonts w:ascii="Calibri" w:hAnsi="Calibri" w:eastAsia="宋体"/>
          <w:b w:val="0"/>
          <w:color w:val="000000"/>
          <w:sz w:val="22"/>
        </w:rPr>
        <w:t>我们只有患者级病理和组学配对，没有病理区域与通路的局部对应标注。两种模态也只部分对应：病理可能帮助解释一部分分子状态，却不必解释全部组学。模型既要学习有用的匹配，又要保留每种模态自己的预后证据。</w:t>
      </w:r>
    </w:p>
    <w:p>
      <w:pPr>
        <w:spacing w:after="160" w:line="293" w:lineRule="auto"/>
      </w:pPr>
      <w:r>
        <w:rPr>
          <w:rFonts w:ascii="Calibri" w:hAnsi="Calibri" w:eastAsia="宋体"/>
          <w:b w:val="0"/>
          <w:color w:val="000000"/>
          <w:sz w:val="22"/>
        </w:rPr>
        <w:t>此前的生存标签给每位患者提供的监督很少。运输分支可以拟合训练标签，却没有直接证据说明它送入的病理信息能够恢复未见分子内容。仅让完整组学参与运输后再恢复组学，还可能利用答案生成计划，使较低误差不能证明真正的跨模态恢复能力。</w:t>
      </w:r>
    </w:p>
    <w:p>
      <w:pPr>
        <w:pStyle w:val="Heading1"/>
        <w:spacing w:before="240" w:after="160"/>
      </w:pPr>
      <w:r>
        <w:rPr>
          <w:rFonts w:ascii="Calibri" w:hAnsi="Calibri" w:eastAsia="宋体"/>
          <w:b/>
          <w:color w:val="000000"/>
          <w:sz w:val="30"/>
        </w:rPr>
        <w:t>2 这一版的 idea</w:t>
      </w:r>
    </w:p>
    <w:p>
      <w:pPr>
        <w:spacing w:after="160" w:line="293" w:lineRule="auto"/>
      </w:pPr>
      <w:r>
        <w:rPr>
          <w:rFonts w:ascii="Calibri" w:hAnsi="Calibri" w:eastAsia="宋体"/>
          <w:b/>
          <w:color w:val="000000"/>
          <w:sz w:val="22"/>
        </w:rPr>
        <w:t>先遮住部分真实基因</w:t>
      </w:r>
      <w:r>
        <w:rPr>
          <w:rFonts w:ascii="Calibri" w:hAnsi="Calibri" w:eastAsia="宋体"/>
          <w:b w:val="0"/>
          <w:color w:val="000000"/>
          <w:sz w:val="22"/>
        </w:rPr>
        <w:t>，再让病理沿现有运输关系帮助补全；同时用未参与教师拟合的训练患者测量补全的额外收益。把这种收益用于校准现有槽对成本，让交换优先考虑可验证的帮助。</w:t>
      </w:r>
    </w:p>
    <w:p>
      <w:pPr>
        <w:spacing w:after="160" w:line="293" w:lineRule="auto"/>
      </w:pPr>
      <w:r>
        <w:rPr>
          <w:rFonts w:ascii="Calibri" w:hAnsi="Calibri" w:eastAsia="宋体"/>
          <w:b w:val="0"/>
          <w:color w:val="000000"/>
          <w:sz w:val="22"/>
        </w:rPr>
        <w:t>这不是增加解码器数量来计算创新。候选贡献在于严格遮盖、患者外收益估计、局部运输选择三者的连接。患者提分与新颖性都需要独立证据，当前实现交付不等于已经证明性能优势。</w:t>
      </w:r>
    </w:p>
    <w:p>
      <w:pPr>
        <w:pStyle w:val="Heading1"/>
        <w:spacing w:before="240" w:after="160"/>
      </w:pPr>
      <w:r>
        <w:rPr>
          <w:rFonts w:ascii="Calibri" w:hAnsi="Calibri" w:eastAsia="宋体"/>
          <w:b/>
          <w:color w:val="000000"/>
          <w:sz w:val="30"/>
        </w:rPr>
        <w:t>3 一句话理解</w:t>
      </w:r>
    </w:p>
    <w:p>
      <w:pPr>
        <w:spacing w:after="160" w:line="293" w:lineRule="auto"/>
      </w:pPr>
      <w:r>
        <w:rPr>
          <w:rFonts w:ascii="Calibri" w:hAnsi="Calibri" w:eastAsia="宋体"/>
          <w:b w:val="0"/>
          <w:color w:val="000000"/>
          <w:sz w:val="22"/>
        </w:rPr>
        <w:t>组学自己能补一部分答案；这一版要学习病理还能补回什么，并把这份额外帮助交给运输选择。重构是训练辅助任务，推理时仍输入患者的完整病理和组学，输出生存风险。</w:t>
      </w:r>
    </w:p>
    <w:p>
      <w:r>
        <w:br w:type="page"/>
      </w:r>
    </w:p>
    <w:p>
      <w:pPr>
        <w:pStyle w:val="Heading1"/>
        <w:spacing w:before="240" w:after="160"/>
      </w:pPr>
      <w:r>
        <w:rPr>
          <w:rFonts w:ascii="Calibri" w:hAnsi="Calibri" w:eastAsia="宋体"/>
          <w:b/>
          <w:color w:val="000000"/>
          <w:sz w:val="30"/>
        </w:rPr>
        <w:t>4 保留的模型基础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200"/>
      </w:tblGrid>
      <w:tr>
        <w:trPr>
          <w:tblHeader/>
        </w:trPr>
        <w:tc>
          <w:tcPr>
            <w:tcW w:type="dxa" w:w="2268"/>
            <w:vAlign w:val="center"/>
            <w:tcMar>
              <w:top w:w="85" w:type="dxa"/>
              <w:bottom w:w="85" w:type="dxa"/>
              <w:left w:w="100" w:type="dxa"/>
              <w:right w:w="100" w:type="dxa"/>
            </w:tcMar>
            <w:shd w:fill="E7EEF5"/>
          </w:tcPr>
          <w:p>
            <w:pPr>
              <w:spacing w:line="269" w:lineRule="auto" w:after="40"/>
            </w:pPr>
            <w:r>
              <w:rPr>
                <w:rFonts w:ascii="Calibri" w:hAnsi="Calibri" w:eastAsia="宋体"/>
                <w:b/>
                <w:color w:val="000000"/>
                <w:sz w:val="21"/>
              </w:rPr>
              <w:t>组件</w:t>
            </w:r>
          </w:p>
        </w:tc>
        <w:tc>
          <w:tcPr>
            <w:tcW w:type="dxa" w:w="7200"/>
            <w:vAlign w:val="center"/>
            <w:tcMar>
              <w:top w:w="85" w:type="dxa"/>
              <w:bottom w:w="85" w:type="dxa"/>
              <w:left w:w="100" w:type="dxa"/>
              <w:right w:w="100" w:type="dxa"/>
            </w:tcMar>
            <w:shd w:fill="E7EEF5"/>
          </w:tcPr>
          <w:p>
            <w:pPr>
              <w:spacing w:line="269" w:lineRule="auto" w:after="40"/>
            </w:pPr>
            <w:r>
              <w:rPr>
                <w:rFonts w:ascii="Calibri" w:hAnsi="Calibri" w:eastAsia="宋体"/>
                <w:b/>
                <w:color w:val="000000"/>
                <w:sz w:val="21"/>
              </w:rPr>
              <w:t>方法与用途</w:t>
            </w:r>
          </w:p>
        </w:tc>
      </w:tr>
      <w:tr>
        <w:tc>
          <w:tcPr>
            <w:tcW w:type="dxa" w:w="2268"/>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WSI 投影与通路编码器</w:t>
            </w:r>
          </w:p>
        </w:tc>
        <w:tc>
          <w:tcPr>
            <w:tcW w:type="dxa" w:w="7200"/>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把预提取病理特征和各通路输入映射到共同维度；沿用 v2.2 的容量与正则化控制。</w:t>
            </w:r>
          </w:p>
        </w:tc>
      </w:tr>
      <w:tr>
        <w:tc>
          <w:tcPr>
            <w:tcW w:type="dxa" w:w="2268"/>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语义槽与原型坐标</w:t>
            </w:r>
          </w:p>
        </w:tc>
        <w:tc>
          <w:tcPr>
            <w:tcW w:type="dxa" w:w="7200"/>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把大量病理 token 和通路 token 汇总为有限语义槽，并为运输提供可比较坐标。</w:t>
            </w:r>
          </w:p>
        </w:tc>
      </w:tr>
      <w:tr>
        <w:tc>
          <w:tcPr>
            <w:tcW w:type="dxa" w:w="2268"/>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阶段条件 UOT</w:t>
            </w:r>
          </w:p>
        </w:tc>
        <w:tc>
          <w:tcPr>
            <w:tcW w:type="dxa" w:w="7200"/>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在各阶段学习成本，以 KL 松弛允许实际质量偏离参考预算；保留部分对应的建模能力。</w:t>
            </w:r>
          </w:p>
        </w:tc>
      </w:tr>
      <w:tr>
        <w:tc>
          <w:tcPr>
            <w:tcW w:type="dxa" w:w="2268"/>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原生读取与质量控制残差</w:t>
            </w:r>
          </w:p>
        </w:tc>
        <w:tc>
          <w:tcPr>
            <w:tcW w:type="dxa" w:w="7200"/>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原生槽汇总直接参与预测；运输更新按实际质量接入，减少交换时原生路径仍可工作。</w:t>
            </w:r>
          </w:p>
        </w:tc>
      </w:tr>
      <w:tr>
        <w:tc>
          <w:tcPr>
            <w:tcW w:type="dxa" w:w="2268"/>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生存头与既有六项损失</w:t>
            </w:r>
          </w:p>
        </w:tc>
        <w:tc>
          <w:tcPr>
            <w:tcW w:type="dxa" w:w="7200"/>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延续主 NLL、IPCW rank、槽 NLL、多样性、关系与 native 监督，不把常规正则化视作新数学贡献。</w:t>
            </w:r>
          </w:p>
        </w:tc>
      </w:tr>
    </w:tbl>
    <w:p>
      <w:pPr>
        <w:spacing w:after="40"/>
      </w:pPr>
    </w:p>
    <w:p>
      <w:pPr>
        <w:pStyle w:val="Heading1"/>
        <w:spacing w:before="240" w:after="160"/>
      </w:pPr>
      <w:r>
        <w:rPr>
          <w:rFonts w:ascii="Calibri" w:hAnsi="Calibri" w:eastAsia="宋体"/>
          <w:b/>
          <w:color w:val="000000"/>
          <w:sz w:val="30"/>
        </w:rPr>
        <w:t>5 新组件各自有什么用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515"/>
        <w:gridCol w:w="3685"/>
      </w:tblGrid>
      <w:tr>
        <w:trPr>
          <w:tblHeader/>
        </w:trPr>
        <w:tc>
          <w:tcPr>
            <w:tcW w:type="dxa" w:w="2268"/>
            <w:vAlign w:val="center"/>
            <w:tcMar>
              <w:top w:w="85" w:type="dxa"/>
              <w:bottom w:w="85" w:type="dxa"/>
              <w:left w:w="100" w:type="dxa"/>
              <w:right w:w="100" w:type="dxa"/>
            </w:tcMar>
            <w:shd w:fill="E7EEF5"/>
          </w:tcPr>
          <w:p>
            <w:pPr>
              <w:spacing w:line="269" w:lineRule="auto" w:after="40"/>
            </w:pPr>
            <w:r>
              <w:rPr>
                <w:rFonts w:ascii="Calibri" w:hAnsi="Calibri" w:eastAsia="宋体"/>
                <w:b/>
                <w:color w:val="000000"/>
                <w:sz w:val="21"/>
              </w:rPr>
              <w:t>新组件</w:t>
            </w:r>
          </w:p>
        </w:tc>
        <w:tc>
          <w:tcPr>
            <w:tcW w:type="dxa" w:w="3515"/>
            <w:vAlign w:val="center"/>
            <w:tcMar>
              <w:top w:w="85" w:type="dxa"/>
              <w:bottom w:w="85" w:type="dxa"/>
              <w:left w:w="100" w:type="dxa"/>
              <w:right w:w="100" w:type="dxa"/>
            </w:tcMar>
            <w:shd w:fill="E7EEF5"/>
          </w:tcPr>
          <w:p>
            <w:pPr>
              <w:spacing w:line="269" w:lineRule="auto" w:after="40"/>
            </w:pPr>
            <w:r>
              <w:rPr>
                <w:rFonts w:ascii="Calibri" w:hAnsi="Calibri" w:eastAsia="宋体"/>
                <w:b/>
                <w:color w:val="000000"/>
                <w:sz w:val="21"/>
              </w:rPr>
              <w:t>具体工作</w:t>
            </w:r>
          </w:p>
        </w:tc>
        <w:tc>
          <w:tcPr>
            <w:tcW w:type="dxa" w:w="3685"/>
            <w:vAlign w:val="center"/>
            <w:tcMar>
              <w:top w:w="85" w:type="dxa"/>
              <w:bottom w:w="85" w:type="dxa"/>
              <w:left w:w="100" w:type="dxa"/>
              <w:right w:w="100" w:type="dxa"/>
            </w:tcMar>
            <w:shd w:fill="E7EEF5"/>
          </w:tcPr>
          <w:p>
            <w:pPr>
              <w:spacing w:line="269" w:lineRule="auto" w:after="40"/>
            </w:pPr>
            <w:r>
              <w:rPr>
                <w:rFonts w:ascii="Calibri" w:hAnsi="Calibri" w:eastAsia="宋体"/>
                <w:b/>
                <w:color w:val="000000"/>
                <w:sz w:val="21"/>
              </w:rPr>
              <w:t>解决的问题</w:t>
            </w:r>
          </w:p>
        </w:tc>
      </w:tr>
      <w:tr>
        <w:tc>
          <w:tcPr>
            <w:tcW w:type="dxa" w:w="2268"/>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全局基因遮盖</w:t>
            </w:r>
          </w:p>
        </w:tc>
        <w:tc>
          <w:tcPr>
            <w:tcW w:type="dxa" w:w="3515"/>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按原始唯一基因身份遮盖，再映射到通路的所有副本。</w:t>
            </w:r>
          </w:p>
        </w:tc>
        <w:tc>
          <w:tcPr>
            <w:tcW w:type="dxa" w:w="3685"/>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隐藏答案不能通过重叠通路进入编码器或运输。</w:t>
            </w:r>
          </w:p>
        </w:tc>
      </w:tr>
      <w:tr>
        <w:tc>
          <w:tcPr>
            <w:tcW w:type="dxa" w:w="2268"/>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共享原始基因解码器</w:t>
            </w:r>
          </w:p>
        </w:tc>
        <w:tc>
          <w:tcPr>
            <w:tcW w:type="dxa" w:w="3515"/>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共用一个 trunk 和按通路的输出 heads，两种输入读取同一参数。</w:t>
            </w:r>
          </w:p>
        </w:tc>
        <w:tc>
          <w:tcPr>
            <w:tcW w:type="dxa" w:w="3685"/>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原生与运输条件恢复固定真实基因目标，避免两路参数能力差异。</w:t>
            </w:r>
          </w:p>
        </w:tc>
      </w:tr>
      <w:tr>
        <w:tc>
          <w:tcPr>
            <w:tcW w:type="dxa" w:w="2268"/>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患者外收益生成工具</w:t>
            </w:r>
          </w:p>
        </w:tc>
        <w:tc>
          <w:tcPr>
            <w:tcW w:type="dxa" w:w="3515"/>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教师在训练折内部交叉拟合，比较可见 RNA 与 RNA 加固定 WSI 均值条件。</w:t>
            </w:r>
          </w:p>
        </w:tc>
        <w:tc>
          <w:tcPr>
            <w:tcW w:type="dxa" w:w="3685"/>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估计可跨患者成立的条件恢复帮助，避免自评患者记忆。</w:t>
            </w:r>
          </w:p>
        </w:tc>
      </w:tr>
      <w:tr>
        <w:tc>
          <w:tcPr>
            <w:tcW w:type="dxa" w:w="2268"/>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既有槽对成本校准</w:t>
            </w:r>
          </w:p>
        </w:tc>
        <w:tc>
          <w:tcPr>
            <w:tcW w:type="dxa" w:w="3515"/>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以停止梯度的可见通路归属映射收益，校准现有阶段槽对绝对成本。</w:t>
            </w:r>
          </w:p>
        </w:tc>
        <w:tc>
          <w:tcPr>
            <w:tcW w:type="dxa" w:w="3685"/>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把恢复效用代理用于已有运输选择，不增加推理收益头。</w:t>
            </w:r>
          </w:p>
        </w:tc>
      </w:tr>
    </w:tbl>
    <w:p>
      <w:pPr>
        <w:spacing w:after="40"/>
      </w:pPr>
    </w:p>
    <w:p>
      <w:pPr>
        <w:spacing w:after="160" w:line="293" w:lineRule="auto"/>
      </w:pPr>
      <w:r>
        <w:rPr>
          <w:rFonts w:ascii="Calibri" w:hAnsi="Calibri" w:eastAsia="宋体"/>
          <w:b w:val="0"/>
          <w:color w:val="000000"/>
          <w:sz w:val="22"/>
        </w:rPr>
        <w:t>架构图用实线表示模型中的信息流，用虚线表示训练目标或校准监督。底部的遮盖重构与患者外收益路径只在训练中使用。图中的病理与基因图标为示意绘制，不代表任何患者实验结果。</w:t>
      </w:r>
    </w:p>
    <w:p>
      <w:r>
        <w:br w:type="page"/>
      </w:r>
    </w:p>
    <w:p>
      <w:pPr>
        <w:pStyle w:val="Heading1"/>
        <w:spacing w:before="240" w:after="160"/>
      </w:pPr>
      <w:r>
        <w:rPr>
          <w:rFonts w:ascii="Calibri" w:hAnsi="Calibri" w:eastAsia="宋体"/>
          <w:b/>
          <w:color w:val="000000"/>
          <w:sz w:val="30"/>
        </w:rPr>
        <w:t>6 严格遮盖怎样防止看答案</w:t>
      </w:r>
    </w:p>
    <w:p>
      <w:pPr>
        <w:spacing w:after="160" w:line="293" w:lineRule="auto"/>
      </w:pPr>
      <w:r>
        <w:rPr>
          <w:rFonts w:ascii="Calibri" w:hAnsi="Calibri" w:eastAsia="宋体"/>
          <w:b w:val="0"/>
          <w:color w:val="000000"/>
          <w:sz w:val="22"/>
        </w:rPr>
        <w:t>遮盖发生在原始基因值进入任何通路编码、成本网络和预算网络之前。同一个基因如果出现在多个通路，所有副本必须一起遮盖。重构的查询只能使用通路身份及可见上下文，不能使用隐藏基因值生成查询、运输计划或读取门。</w:t>
      </w:r>
    </w:p>
    <w:p>
      <w:pPr>
        <w:spacing w:after="160" w:line="293" w:lineRule="auto"/>
      </w:pPr>
      <w:r>
        <w:rPr>
          <w:rFonts w:ascii="Calibri" w:hAnsi="Calibri" w:eastAsia="宋体"/>
          <w:b w:val="0"/>
          <w:color w:val="000000"/>
          <w:sz w:val="22"/>
        </w:rPr>
        <w:t>模型重构目标是外层训练折均值和标准差标准化后的固定基因表达值，而不是随编码器一起变化的潜表示。这里的原始值指输入文件中的表达数值，沿用已有上游处理，不表示未经处理的测序计数。目标值只参与误差计算；验证折、测试折的统计不能进入标准化和收益教师。</w:t>
      </w:r>
    </w:p>
    <w:p>
      <w:pPr>
        <w:pStyle w:val="Heading1"/>
        <w:spacing w:before="240" w:after="160"/>
      </w:pPr>
      <w:r>
        <w:rPr>
          <w:rFonts w:ascii="Calibri" w:hAnsi="Calibri" w:eastAsia="宋体"/>
          <w:b/>
          <w:color w:val="000000"/>
          <w:sz w:val="30"/>
        </w:rPr>
        <w:t>7 为什么还需要患者外收益</w:t>
      </w:r>
    </w:p>
    <w:p>
      <w:pPr>
        <w:spacing w:after="160" w:line="293" w:lineRule="auto"/>
      </w:pPr>
      <w:r>
        <w:rPr>
          <w:rFonts w:ascii="Calibri" w:hAnsi="Calibri" w:eastAsia="宋体"/>
          <w:b w:val="0"/>
          <w:color w:val="000000"/>
          <w:sz w:val="22"/>
        </w:rPr>
        <w:t>同一个模型可以记住训练患者，在这些患者上给出很低的重构误差。重新抽一组遮盖位置仍不足以排除这种记忆。因此收益教师在训练折内部轮换留出患者：某位患者的收益，只由没有用该患者拟合的教师估计。教师用固定原始组学坐标和预提取 UNI 病理特征的均值，不使用随 DCT 更新的潜表示。</w:t>
      </w:r>
    </w:p>
    <w:p>
      <w:pPr>
        <w:spacing w:after="160" w:line="293" w:lineRule="auto"/>
      </w:pPr>
      <w:r>
        <w:rPr>
          <w:rFonts w:ascii="Calibri" w:hAnsi="Calibri" w:eastAsia="宋体"/>
          <w:b w:val="0"/>
          <w:color w:val="000000"/>
          <w:sz w:val="22"/>
        </w:rPr>
        <w:t>收益记录需要携带患者归属、教师拟合患者列表、标准化统计来源、遮盖设置和来源校验。校准工具不得把验证或测试患者混入教师拟合，也不得使用生存测试结果选择收益阈值。</w:t>
      </w:r>
    </w:p>
    <w:p>
      <w:pPr>
        <w:pStyle w:val="Heading1"/>
        <w:spacing w:before="240" w:after="160"/>
      </w:pPr>
      <w:r>
        <w:rPr>
          <w:rFonts w:ascii="Calibri" w:hAnsi="Calibri" w:eastAsia="宋体"/>
          <w:b/>
          <w:color w:val="000000"/>
          <w:sz w:val="30"/>
        </w:rPr>
        <w:t>8 收益怎样解释</w:t>
      </w:r>
    </w:p>
    <w:p>
      <w:pPr>
        <w:spacing w:after="160" w:line="293" w:lineRule="auto"/>
      </w:pPr>
      <w:r>
        <w:rPr>
          <w:rFonts w:ascii="Calibri" w:hAnsi="Calibri" w:eastAsia="宋体"/>
          <w:b w:val="0"/>
          <w:color w:val="000000"/>
          <w:sz w:val="22"/>
        </w:rPr>
        <w:t>收益教师先测可见组学补全的误差，再测加入固定病理均值条件后的误差。原生误差减去条件误差就是额外恢复收益：正值表示病理条件有帮助，负值表示可能有害。这是患者与通路层面的恢复效用代理，尚不是 DCT 槽对的真实匹配收益，更不是病理与基因的因果对应。</w:t>
      </w:r>
    </w:p>
    <w:p>
      <w:pPr>
        <w:spacing w:after="160" w:line="293" w:lineRule="auto"/>
      </w:pPr>
      <w:r>
        <w:rPr>
          <w:rFonts w:ascii="Calibri" w:hAnsi="Calibri" w:eastAsia="宋体"/>
          <w:b w:val="0"/>
          <w:color w:val="000000"/>
          <w:sz w:val="22"/>
        </w:rPr>
        <w:t>教师采用小型 ridge 回归，不使用生存标签。默认将可见 RNA 固定随机投影到 32 维，再给条件教师加入 16 维固定病理均值投影；正则强度为 10，训练折内部做 3 折交叉拟合，使用 8 组遮盖与种子 3。每个全局基因至少被隐藏一次。教师标准化仅使用各自内部拟合患者的均值和标准差；跨教师收益是归一化误差差，不能解释为统一原始单位的风险。</w:t>
      </w:r>
    </w:p>
    <w:p>
      <w:pPr>
        <w:spacing w:after="160" w:line="293" w:lineRule="auto"/>
      </w:pPr>
      <w:r>
        <w:rPr>
          <w:rFonts w:ascii="Calibri" w:hAnsi="Calibri" w:eastAsia="宋体"/>
          <w:b w:val="0"/>
          <w:color w:val="000000"/>
          <w:sz w:val="22"/>
        </w:rPr>
        <w:t>该收益经可见通路到组学槽的归属映射，形成槽级成本校准目标；映射停止梯度。收益经单调的 sigmoid 变换转换为成本目标：正收益倾向较低成本，负收益倾向较高成本。该项只更新指定既有成本参数，不反传至编码器或解码器。高成本可能减少 UOT 中的交换，但不保证运输质量单调变化，也不能解释为生物学私有信息比例。</w:t>
      </w:r>
    </w:p>
    <w:p>
      <w:pPr>
        <w:spacing w:after="160" w:line="293" w:lineRule="auto"/>
      </w:pPr>
      <w:r>
        <w:rPr>
          <w:rFonts w:ascii="Calibri" w:hAnsi="Calibri" w:eastAsia="宋体"/>
          <w:b w:val="0"/>
          <w:color w:val="000000"/>
          <w:sz w:val="22"/>
        </w:rPr>
        <w:t>患者外收益由独立工具生成并保存。被评分患者不在对应教师拟合集，教师输入和目标标准化也仅使用各自内部拟合患者。收益是跨教师归一化误差代理，不等于统一原始单位或槽对真实恢复收益。工具不使用生存标签。本轮只完成合成协议检查，没有运行患者收益生成。</w:t>
      </w:r>
    </w:p>
    <w:p>
      <w:r>
        <w:br w:type="page"/>
      </w:r>
    </w:p>
    <w:p>
      <w:pPr>
        <w:pStyle w:val="Heading1"/>
        <w:spacing w:before="240" w:after="160"/>
      </w:pPr>
      <w:r>
        <w:rPr>
          <w:rFonts w:ascii="Calibri" w:hAnsi="Calibri" w:eastAsia="宋体"/>
          <w:b/>
          <w:color w:val="000000"/>
          <w:sz w:val="30"/>
        </w:rPr>
        <w:t>9 训练时实际发生什么</w:t>
      </w:r>
    </w:p>
    <w:p>
      <w:pPr>
        <w:spacing w:after="160" w:line="293" w:lineRule="auto"/>
      </w:pPr>
      <w:r>
        <w:rPr>
          <w:rFonts w:ascii="Calibri" w:hAnsi="Calibri" w:eastAsia="宋体"/>
          <w:b w:val="0"/>
          <w:color w:val="000000"/>
          <w:sz w:val="22"/>
        </w:rPr>
        <w:t>完整视图沿 v2.2 的小容量编码器、两套语义槽、原型坐标、阶段 UOT 和生存头计算六项基础目标。</w:t>
      </w:r>
    </w:p>
    <w:p>
      <w:pPr>
        <w:spacing w:after="160" w:line="293" w:lineRule="auto"/>
      </w:pPr>
      <w:r>
        <w:rPr>
          <w:rFonts w:ascii="Calibri" w:hAnsi="Calibri" w:eastAsia="宋体"/>
          <w:b w:val="0"/>
          <w:color w:val="000000"/>
          <w:sz w:val="22"/>
        </w:rPr>
        <w:t>同一批数据构造全局基因遮盖视图，先遮盖再分配通路；隐藏值只作为标准化后的重构答案。</w:t>
      </w:r>
    </w:p>
    <w:p>
      <w:pPr>
        <w:spacing w:after="160" w:line="293" w:lineRule="auto"/>
      </w:pPr>
      <w:r>
        <w:rPr>
          <w:rFonts w:ascii="Calibri" w:hAnsi="Calibri" w:eastAsia="宋体"/>
          <w:b w:val="0"/>
          <w:color w:val="000000"/>
          <w:sz w:val="22"/>
        </w:rPr>
        <w:t>共享解码器读取原生或运输条件，恢复隐藏真实基因；原生与条件误差合为一项重构辅助目标。</w:t>
      </w:r>
    </w:p>
    <w:p>
      <w:pPr>
        <w:spacing w:after="160" w:line="293" w:lineRule="auto"/>
      </w:pPr>
      <w:r>
        <w:rPr>
          <w:rFonts w:ascii="Calibri" w:hAnsi="Calibri" w:eastAsia="宋体"/>
          <w:b w:val="0"/>
          <w:color w:val="000000"/>
          <w:sz w:val="22"/>
        </w:rPr>
        <w:t>读取相应训练折的患者外收益，经停止梯度的可见通路到槽归属映射后，校准已有阶段槽对成本。</w:t>
      </w:r>
    </w:p>
    <w:p>
      <w:pPr>
        <w:spacing w:after="160" w:line="293" w:lineRule="auto"/>
      </w:pPr>
      <w:r>
        <w:rPr>
          <w:rFonts w:ascii="Calibri" w:hAnsi="Calibri" w:eastAsia="宋体"/>
          <w:b w:val="0"/>
          <w:color w:val="000000"/>
          <w:sz w:val="22"/>
        </w:rPr>
        <w:t>八项目标联合训练；同预算独立计划仅用于重构与匹配诊断。完整、普通重构和基础三臂各用独立结果目录。</w:t>
      </w:r>
    </w:p>
    <w:p>
      <w:pPr>
        <w:pStyle w:val="Heading1"/>
        <w:spacing w:before="240" w:after="160"/>
      </w:pPr>
      <w:r>
        <w:rPr>
          <w:rFonts w:ascii="Calibri" w:hAnsi="Calibri" w:eastAsia="宋体"/>
          <w:b/>
          <w:color w:val="000000"/>
          <w:sz w:val="30"/>
        </w:rPr>
        <w:t>10 推理时实际发生什么</w:t>
      </w:r>
    </w:p>
    <w:p>
      <w:pPr>
        <w:spacing w:after="160" w:line="293" w:lineRule="auto"/>
      </w:pPr>
      <w:r>
        <w:rPr>
          <w:rFonts w:ascii="Calibri" w:hAnsi="Calibri" w:eastAsia="宋体"/>
          <w:b w:val="0"/>
          <w:color w:val="000000"/>
          <w:sz w:val="22"/>
        </w:rPr>
        <w:t>输入完整的患者病理特征和组学，走原生与运输融合生存路径。不会遮住真实基因，也不需要先运行重构解码器或收益教师。训练辅助组件不能成为部署时输入额外患者信息的通道。</w:t>
      </w:r>
    </w:p>
    <w:p>
      <w:pPr>
        <w:pStyle w:val="Heading1"/>
        <w:spacing w:before="240" w:after="160"/>
      </w:pPr>
      <w:r>
        <w:rPr>
          <w:rFonts w:ascii="Calibri" w:hAnsi="Calibri" w:eastAsia="宋体"/>
          <w:b/>
          <w:color w:val="000000"/>
          <w:sz w:val="30"/>
        </w:rPr>
        <w:t>11 独立耦合比较有什么用</w:t>
      </w:r>
    </w:p>
    <w:p>
      <w:pPr>
        <w:spacing w:after="160" w:line="293" w:lineRule="auto"/>
      </w:pPr>
      <w:r>
        <w:rPr>
          <w:rFonts w:ascii="Calibri" w:hAnsi="Calibri" w:eastAsia="宋体"/>
          <w:b w:val="0"/>
          <w:color w:val="000000"/>
          <w:sz w:val="22"/>
        </w:rPr>
        <w:t>学习计划与独立计划使用相同的实际行边际、列边际和总质量。这样可以比较具体匹配安排的作用，而不是把更大交换量误当成更好匹配。解码器也共享，防止一个分支靠更多参数占优。</w:t>
      </w:r>
    </w:p>
    <w:p>
      <w:pPr>
        <w:spacing w:after="160" w:line="293" w:lineRule="auto"/>
      </w:pPr>
      <w:r>
        <w:rPr>
          <w:rFonts w:ascii="Calibri" w:hAnsi="Calibri" w:eastAsia="宋体"/>
          <w:b w:val="0"/>
          <w:color w:val="000000"/>
          <w:sz w:val="22"/>
        </w:rPr>
        <w:t>独立耦合只作对照与诊断，没有新增同预算重构差额训练项。固定基准后的差额可能仅重新加权普通重构梯度，因此这一版没有把它宣传为全新的优化方向。</w:t>
      </w:r>
    </w:p>
    <w:p>
      <w:pPr>
        <w:pStyle w:val="Heading1"/>
        <w:spacing w:before="240" w:after="160"/>
      </w:pPr>
      <w:r>
        <w:rPr>
          <w:rFonts w:ascii="Calibri" w:hAnsi="Calibri" w:eastAsia="宋体"/>
          <w:b/>
          <w:color w:val="000000"/>
          <w:sz w:val="30"/>
        </w:rPr>
        <w:t>初始配方</w:t>
      </w:r>
    </w:p>
    <w:p>
      <w:pPr>
        <w:spacing w:after="160" w:line="293" w:lineRule="auto"/>
      </w:pPr>
      <w:r>
        <w:rPr>
          <w:rFonts w:ascii="Calibri" w:hAnsi="Calibri" w:eastAsia="宋体"/>
          <w:b w:val="0"/>
          <w:color w:val="000000"/>
          <w:sz w:val="22"/>
        </w:rPr>
        <w:t>共同维度 128，WSI 隐层 256，dropout 0.30；重构解码隐层 64，基因遮盖比例 0.30。重构权重 0.05，收益校准权重 0.02，校准热身 3 轮，收益温度 0.10。这些数值是待验证起点，不能称为最优配方。遮盖视图增加一次辅助前向，离线收益生成也有额外拟合开销。</w:t>
      </w:r>
    </w:p>
    <w:p>
      <w:r>
        <w:br w:type="page"/>
      </w:r>
    </w:p>
    <w:p>
      <w:pPr>
        <w:pStyle w:val="Heading1"/>
        <w:spacing w:before="240" w:after="160"/>
      </w:pPr>
      <w:r>
        <w:rPr>
          <w:rFonts w:ascii="Calibri" w:hAnsi="Calibri" w:eastAsia="宋体"/>
          <w:b/>
          <w:color w:val="000000"/>
          <w:sz w:val="30"/>
        </w:rPr>
        <w:t>12 损失项为什么存在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33"/>
      </w:tblGrid>
      <w:tr>
        <w:trPr>
          <w:tblHeader/>
        </w:trPr>
        <w:tc>
          <w:tcPr>
            <w:tcW w:type="dxa" w:w="2835"/>
            <w:vAlign w:val="center"/>
            <w:tcMar>
              <w:top w:w="85" w:type="dxa"/>
              <w:bottom w:w="85" w:type="dxa"/>
              <w:left w:w="100" w:type="dxa"/>
              <w:right w:w="100" w:type="dxa"/>
            </w:tcMar>
            <w:shd w:fill="E7EEF5"/>
          </w:tcPr>
          <w:p>
            <w:pPr>
              <w:spacing w:line="269" w:lineRule="auto" w:after="40"/>
            </w:pPr>
            <w:r>
              <w:rPr>
                <w:rFonts w:ascii="Calibri" w:hAnsi="Calibri" w:eastAsia="宋体"/>
                <w:b/>
                <w:color w:val="000000"/>
                <w:sz w:val="21"/>
              </w:rPr>
              <w:t>目标</w:t>
            </w:r>
          </w:p>
        </w:tc>
        <w:tc>
          <w:tcPr>
            <w:tcW w:type="dxa" w:w="6633"/>
            <w:vAlign w:val="center"/>
            <w:tcMar>
              <w:top w:w="85" w:type="dxa"/>
              <w:bottom w:w="85" w:type="dxa"/>
              <w:left w:w="100" w:type="dxa"/>
              <w:right w:w="100" w:type="dxa"/>
            </w:tcMar>
            <w:shd w:fill="E7EEF5"/>
          </w:tcPr>
          <w:p>
            <w:pPr>
              <w:spacing w:line="269" w:lineRule="auto" w:after="40"/>
            </w:pPr>
            <w:r>
              <w:rPr>
                <w:rFonts w:ascii="Calibri" w:hAnsi="Calibri" w:eastAsia="宋体"/>
                <w:b/>
                <w:color w:val="000000"/>
                <w:sz w:val="21"/>
              </w:rPr>
              <w:t>训练作用</w:t>
            </w:r>
          </w:p>
        </w:tc>
      </w:tr>
      <w:tr>
        <w:tc>
          <w:tcPr>
            <w:tcW w:type="dxa" w:w="2835"/>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主生存 NLL 与 IPCW rank</w:t>
            </w:r>
          </w:p>
        </w:tc>
        <w:tc>
          <w:tcPr>
            <w:tcW w:type="dxa" w:w="6633"/>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拟合患者生存事件并约束风险排序。</w:t>
            </w:r>
          </w:p>
        </w:tc>
      </w:tr>
      <w:tr>
        <w:tc>
          <w:tcPr>
            <w:tcW w:type="dxa" w:w="2835"/>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槽 NLL 与 slot diversity</w:t>
            </w:r>
          </w:p>
        </w:tc>
        <w:tc>
          <w:tcPr>
            <w:tcW w:type="dxa" w:w="6633"/>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为槽提供生存信息和差异约束；惩罚下降本身不能证明槽坍缩。</w:t>
            </w:r>
          </w:p>
        </w:tc>
      </w:tr>
      <w:tr>
        <w:tc>
          <w:tcPr>
            <w:tcW w:type="dxa" w:w="2835"/>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关系与 native</w:t>
            </w:r>
          </w:p>
        </w:tc>
        <w:tc>
          <w:tcPr>
            <w:tcW w:type="dxa" w:w="6633"/>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固定实际预算比较生存匹配；为少参与交换的原生路径提供监督。</w:t>
            </w:r>
          </w:p>
        </w:tc>
      </w:tr>
      <w:tr>
        <w:tc>
          <w:tcPr>
            <w:tcW w:type="dxa" w:w="2835"/>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严格遮盖重构</w:t>
            </w:r>
          </w:p>
        </w:tc>
        <w:tc>
          <w:tcPr>
            <w:tcW w:type="dxa" w:w="6633"/>
            <w:vAlign w:val="center"/>
            <w:tcMar>
              <w:top w:w="85" w:type="dxa"/>
              <w:bottom w:w="85" w:type="dxa"/>
              <w:left w:w="100" w:type="dxa"/>
              <w:right w:w="100" w:type="dxa"/>
            </w:tcMar>
            <w:shd w:fill="F7F9FA"/>
          </w:tcPr>
          <w:p>
            <w:pPr>
              <w:spacing w:line="269" w:lineRule="auto" w:after="40"/>
            </w:pPr>
            <w:r>
              <w:rPr>
                <w:rFonts w:ascii="Calibri" w:hAnsi="Calibri" w:eastAsia="宋体"/>
                <w:b w:val="0"/>
                <w:color w:val="000000"/>
                <w:sz w:val="21"/>
              </w:rPr>
              <w:t>共享 trunk 和通路输出头计算原生与条件补全误差；有效患者与通路均权，两路合为一项。</w:t>
            </w:r>
          </w:p>
        </w:tc>
      </w:tr>
      <w:tr>
        <w:tc>
          <w:tcPr>
            <w:tcW w:type="dxa" w:w="2835"/>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运输收益校准</w:t>
            </w:r>
          </w:p>
        </w:tc>
        <w:tc>
          <w:tcPr>
            <w:tcW w:type="dxa" w:w="6633"/>
            <w:vAlign w:val="center"/>
            <w:tcMar>
              <w:top w:w="85" w:type="dxa"/>
              <w:bottom w:w="85" w:type="dxa"/>
              <w:left w:w="100" w:type="dxa"/>
              <w:right w:w="100" w:type="dxa"/>
            </w:tcMar>
            <w:shd w:fill="FFFFFF"/>
          </w:tcPr>
          <w:p>
            <w:pPr>
              <w:spacing w:line="269" w:lineRule="auto" w:after="40"/>
            </w:pPr>
            <w:r>
              <w:rPr>
                <w:rFonts w:ascii="Calibri" w:hAnsi="Calibri" w:eastAsia="宋体"/>
                <w:b w:val="0"/>
                <w:color w:val="000000"/>
                <w:sz w:val="21"/>
              </w:rPr>
              <w:t>用训练患者外的恢复效用代理校准已有阶段槽对成本，训练之外不增加收益预测头。</w:t>
            </w:r>
          </w:p>
        </w:tc>
      </w:tr>
    </w:tbl>
    <w:p>
      <w:pPr>
        <w:spacing w:after="40"/>
      </w:pPr>
    </w:p>
    <w:p>
      <w:pPr>
        <w:spacing w:after="160" w:line="293" w:lineRule="auto"/>
      </w:pPr>
      <w:r>
        <w:rPr>
          <w:rFonts w:ascii="Calibri" w:hAnsi="Calibri" w:eastAsia="宋体"/>
          <w:b w:val="0"/>
          <w:color w:val="000000"/>
          <w:sz w:val="22"/>
        </w:rPr>
        <w:t>完整候选共八项训练目标：六项既有生存与槽目标，加一项重构和一项收益校准。普通重构对照为七项，无重构基础臂为六项。两路重构共用解码器参数，不是三个解码器或三项重构损失。</w:t>
      </w:r>
    </w:p>
    <w:p>
      <w:pPr>
        <w:spacing w:after="160" w:line="293" w:lineRule="auto"/>
      </w:pPr>
      <w:r>
        <w:rPr>
          <w:rFonts w:ascii="Calibri" w:hAnsi="Calibri" w:eastAsia="宋体"/>
          <w:b w:val="0"/>
          <w:color w:val="000000"/>
          <w:sz w:val="22"/>
        </w:rPr>
        <w:t>遮盖按全局基因身份同步，但误差按有效患者与通路平均。同一基因跨通路重复出现时，可以重复计分，因此该数值不能称为全局唯一基因等权 MSE。</w:t>
      </w:r>
    </w:p>
    <w:p>
      <w:pPr>
        <w:pStyle w:val="Heading1"/>
        <w:spacing w:before="240" w:after="160"/>
      </w:pPr>
      <w:r>
        <w:rPr>
          <w:rFonts w:ascii="Calibri" w:hAnsi="Calibri" w:eastAsia="宋体"/>
          <w:b/>
          <w:color w:val="000000"/>
          <w:sz w:val="30"/>
        </w:rPr>
        <w:t>13 成功需要哪些证据</w:t>
      </w:r>
    </w:p>
    <w:p>
      <w:pPr>
        <w:spacing w:after="160" w:line="293" w:lineRule="auto"/>
      </w:pPr>
      <w:r>
        <w:rPr>
          <w:rFonts w:ascii="Calibri" w:hAnsi="Calibri" w:eastAsia="宋体"/>
          <w:b w:val="0"/>
          <w:color w:val="000000"/>
          <w:sz w:val="22"/>
        </w:rPr>
        <w:t>确实重构：在未参与教师或模型拟合的患者上，隐藏基因恢复优于原生补全。匹配有效：学习匹配优于同预算独立混合，打乱配对病理后优势减弱。预后有效：在同患者划分、训练预算和模型选择规则下，生存结果优于无重构及普通遮盖重构。</w:t>
      </w:r>
    </w:p>
    <w:p>
      <w:pPr>
        <w:spacing w:after="160" w:line="293" w:lineRule="auto"/>
      </w:pPr>
      <w:r>
        <w:rPr>
          <w:rFonts w:ascii="Calibri" w:hAnsi="Calibri" w:eastAsia="宋体"/>
          <w:b w:val="0"/>
          <w:color w:val="000000"/>
          <w:sz w:val="22"/>
        </w:rPr>
        <w:t>损失下降、结构检查通过、最佳验证分数提高分别回答不同问题。不能用合成检查替代患者泛化，也不能只挑一个折或一个早期峰值宣布过拟合解决。</w:t>
      </w:r>
    </w:p>
    <w:p>
      <w:pPr>
        <w:pStyle w:val="Heading1"/>
        <w:spacing w:before="240" w:after="160"/>
      </w:pPr>
      <w:r>
        <w:rPr>
          <w:rFonts w:ascii="Calibri" w:hAnsi="Calibri" w:eastAsia="宋体"/>
          <w:b/>
          <w:color w:val="000000"/>
          <w:sz w:val="30"/>
        </w:rPr>
        <w:t>14 当前交付和检查状态</w:t>
      </w:r>
    </w:p>
    <w:p>
      <w:pPr>
        <w:spacing w:after="160" w:line="293" w:lineRule="auto"/>
      </w:pPr>
      <w:r>
        <w:rPr>
          <w:rFonts w:ascii="Calibri" w:hAnsi="Calibri" w:eastAsia="宋体"/>
          <w:b w:val="0"/>
          <w:color w:val="000000"/>
          <w:sz w:val="22"/>
        </w:rPr>
        <w:t>最终聚焦检查 199 项通过，包含 v2.3 模型、交叉拟合、真实训练器的合成串联，以及 v2.2、v2.1、v2 的回归检查。18 个受保护历史源码文件哈希未变。这些检查支持目标隔离、患者归属、梯度与接口行为；本轮未启动患者收益生成、患者训练或患者推理，没有本版本患者分数，也未证明过拟合已解决。</w:t>
      </w:r>
    </w:p>
    <w:p>
      <w:pPr>
        <w:spacing w:after="160" w:line="293" w:lineRule="auto"/>
      </w:pPr>
      <w:r>
        <w:rPr>
          <w:rFonts w:ascii="Calibri" w:hAnsi="Calibri" w:eastAsia="宋体"/>
          <w:b w:val="0"/>
          <w:color w:val="000000"/>
          <w:sz w:val="22"/>
        </w:rPr>
        <w:t>v2、v2.1、v2.2、v3.13 与 E050 原材料保留。本候选采用独立版本与独立输出目录，重构收益生成和患者训练应使用新的产物路径。</w:t>
      </w:r>
    </w:p>
    <w:p>
      <w:r>
        <w:br w:type="page"/>
      </w:r>
    </w:p>
    <w:p>
      <w:pPr>
        <w:pStyle w:val="Heading1"/>
        <w:spacing w:before="240" w:after="160"/>
      </w:pPr>
      <w:r>
        <w:rPr>
          <w:rFonts w:ascii="Calibri" w:hAnsi="Calibri" w:eastAsia="宋体"/>
          <w:b/>
          <w:color w:val="000000"/>
          <w:sz w:val="30"/>
        </w:rPr>
        <w:t>15 相关工作与创新边界</w:t>
      </w:r>
    </w:p>
    <w:p>
      <w:pPr>
        <w:spacing w:after="160" w:line="293" w:lineRule="auto"/>
      </w:pPr>
      <w:r>
        <w:rPr>
          <w:rFonts w:ascii="Calibri" w:hAnsi="Calibri" w:eastAsia="宋体"/>
          <w:b w:val="0"/>
          <w:color w:val="000000"/>
          <w:sz w:val="22"/>
        </w:rPr>
        <w:t>遮盖重构、跨模态重构、最优运输和交叉拟合各有先例。我们应围绕真实问题和可验证机制描述贡献：在局部对应未知且部分对应的病理组学任务中，以严格遮盖恢复为训练信号，用训练患者外的额外恢复收益校准现有运输选择，并检验是否带来生存泛化。</w:t>
      </w:r>
    </w:p>
    <w:p>
      <w:pPr>
        <w:spacing w:after="160" w:line="293" w:lineRule="auto"/>
      </w:pPr>
      <w:r>
        <w:rPr>
          <w:rFonts w:ascii="Calibri" w:hAnsi="Calibri" w:eastAsia="宋体"/>
          <w:b w:val="0"/>
          <w:color w:val="000000"/>
          <w:sz w:val="22"/>
        </w:rPr>
        <w:t>当前版本的实现不是全领域首次证明，也没有患者性能优势证明。与相关工作区别需要在正文、源码和公平消融中持续核实。新增组件应按其实际作用说明，不能按损失或解码器数量计算创新。</w:t>
      </w:r>
    </w:p>
    <w:p>
      <w:pPr>
        <w:spacing w:after="120"/>
      </w:pPr>
      <w:hyperlink r:id="rId9">
        <w:r>
          <w:rPr>
            <w:color w:val="235E8B"/>
            <w:sz w:val="20"/>
          </w:rPr>
          <w:t>MORPHEUS 病理与可见组学恢复遮盖组学</w:t>
        </w:r>
      </w:hyperlink>
    </w:p>
    <w:p>
      <w:pPr>
        <w:spacing w:after="120"/>
      </w:pPr>
      <w:hyperlink r:id="rId10">
        <w:r>
          <w:rPr>
            <w:color w:val="235E8B"/>
            <w:sz w:val="20"/>
          </w:rPr>
          <w:t>LUCID SAE 运输计划与跨模态重构</w:t>
        </w:r>
      </w:hyperlink>
    </w:p>
    <w:p>
      <w:pPr>
        <w:spacing w:after="120"/>
      </w:pPr>
      <w:hyperlink r:id="rId11">
        <w:r>
          <w:rPr>
            <w:color w:val="235E8B"/>
            <w:sz w:val="20"/>
          </w:rPr>
          <w:t>MCSP OTMR 作者代码</w:t>
        </w:r>
      </w:hyperlink>
    </w:p>
    <w:p>
      <w:pPr>
        <w:spacing w:after="120"/>
      </w:pPr>
      <w:hyperlink r:id="rId12">
        <w:r>
          <w:rPr>
            <w:color w:val="235E8B"/>
            <w:sz w:val="20"/>
          </w:rPr>
          <w:t>Statistical Matching via Schrödinger Bridge 固定边际与补全</w:t>
        </w:r>
      </w:hyperlink>
    </w:p>
    <w:p>
      <w:pPr>
        <w:spacing w:after="120"/>
      </w:pPr>
      <w:hyperlink r:id="rId13">
        <w:r>
          <w:rPr>
            <w:color w:val="235E8B"/>
            <w:sz w:val="20"/>
          </w:rPr>
          <w:t>Intent Controlled Partial OT 局部参与选择</w:t>
        </w:r>
      </w:hyperlink>
    </w:p>
    <w:p>
      <w:pPr>
        <w:pStyle w:val="Heading1"/>
        <w:spacing w:before="240" w:after="160"/>
      </w:pPr>
      <w:r>
        <w:rPr>
          <w:rFonts w:ascii="Calibri" w:hAnsi="Calibri" w:eastAsia="宋体"/>
          <w:b/>
          <w:color w:val="000000"/>
          <w:sz w:val="30"/>
        </w:rPr>
        <w:t>16 后续实验的判断顺序</w:t>
      </w:r>
    </w:p>
    <w:p>
      <w:pPr>
        <w:spacing w:after="160" w:line="293" w:lineRule="auto"/>
      </w:pPr>
      <w:r>
        <w:rPr>
          <w:rFonts w:ascii="Calibri" w:hAnsi="Calibri" w:eastAsia="宋体"/>
          <w:b w:val="0"/>
          <w:color w:val="000000"/>
          <w:sz w:val="22"/>
        </w:rPr>
        <w:t>先检查严格遮盖及患者归属是否成立，再检查未见患者上的原始基因恢复与收益校准，最后比较生存性能。基础修复、普通重构与收益校准应分臂，保持特征、患者划分、种子、训练预算和检查点选择一致。</w:t>
      </w:r>
    </w:p>
    <w:p>
      <w:pPr>
        <w:spacing w:after="160" w:line="293" w:lineRule="auto"/>
      </w:pPr>
      <w:r>
        <w:rPr>
          <w:rFonts w:ascii="Calibri" w:hAnsi="Calibri" w:eastAsia="宋体"/>
          <w:b w:val="0"/>
          <w:color w:val="000000"/>
          <w:sz w:val="22"/>
        </w:rPr>
        <w:t>如果基因恢复改善而生存不改善，说明辅助任务学到的信息尚未转化为预后价值。如果训练收益很高但患者外收益消失，说明它仍可能依赖患者记忆。如果收益教师估计不稳定，则先修正数据量和估计协议，不能继续堆叠模块解释。</w:t>
      </w:r>
    </w:p>
    <w:p>
      <w:pPr>
        <w:spacing w:after="160" w:line="293" w:lineRule="auto"/>
      </w:pPr>
      <w:r>
        <w:rPr>
          <w:rFonts w:ascii="Calibri" w:hAnsi="Calibri" w:eastAsia="宋体"/>
          <w:b w:val="0"/>
          <w:color w:val="000000"/>
          <w:sz w:val="22"/>
        </w:rPr>
        <w:t>这一版最重要的研究问题是：可以跨患者成立的恢复帮助，是否能够教会运输做出更有用的交换。</w:t>
      </w:r>
    </w:p>
    <w:p>
      <w:r>
        <w:br w:type="page"/>
      </w:r>
    </w:p>
    <w:p>
      <w:pPr>
        <w:pStyle w:val="Heading1"/>
        <w:spacing w:before="240" w:after="160"/>
      </w:pPr>
      <w:r>
        <w:rPr>
          <w:rFonts w:ascii="Calibri" w:hAnsi="Calibri" w:eastAsia="宋体"/>
          <w:b/>
          <w:color w:val="000000"/>
          <w:sz w:val="30"/>
        </w:rPr>
        <w:t>17 使用顺序与运行入口</w:t>
      </w:r>
    </w:p>
    <w:p>
      <w:pPr>
        <w:spacing w:after="160" w:line="293" w:lineRule="auto"/>
      </w:pPr>
      <w:r>
        <w:rPr>
          <w:rFonts w:ascii="Calibri" w:hAnsi="Calibri" w:eastAsia="宋体"/>
          <w:b w:val="0"/>
          <w:color w:val="000000"/>
          <w:sz w:val="22"/>
        </w:rPr>
        <w:t>在已有 DCT Reg 仓库中安装本候选，再修改三份配置的数据路径与 GPU 编号。校准文件按训练折分别保存；已有文件不会被覆盖，重做时使用新的目录，并同步修改配置中的校准目录。以下命令由用户在服务器执行，本轮交付没有启动这些任务。</w:t>
      </w:r>
    </w:p>
    <w:p>
      <w:pPr>
        <w:pStyle w:val="Heading1"/>
        <w:spacing w:before="240" w:after="160"/>
      </w:pPr>
      <w:r>
        <w:rPr>
          <w:rFonts w:ascii="Calibri" w:hAnsi="Calibri" w:eastAsia="宋体"/>
          <w:b/>
          <w:color w:val="000000"/>
          <w:sz w:val="30"/>
        </w:rPr>
        <w:t>先运行收益生成工具</w:t>
      </w:r>
    </w:p>
    <w:p>
      <w:pPr>
        <w:spacing w:after="160" w:line="293" w:lineRule="auto"/>
      </w:pPr>
      <w:r>
        <w:rPr>
          <w:rFonts w:ascii="Calibri" w:hAnsi="Calibri" w:eastAsia="宋体"/>
          <w:b w:val="0"/>
          <w:color w:val="000000"/>
          <w:sz w:val="22"/>
        </w:rPr>
        <w:t>该步骤只读取声明的训练患者，拟合轻量教师，生成每折校准表。它是实际数据任务，需要配对 RNA 和已提取病理特征。</w:t>
      </w:r>
    </w:p>
    <w:p>
      <w:pPr>
        <w:spacing w:after="40"/>
      </w:pPr>
      <w:r>
        <w:rPr>
          <w:rFonts w:ascii="Calibri" w:hAnsi="Calibri" w:eastAsia="宋体"/>
          <w:b w:val="0"/>
          <w:color w:val="000000"/>
          <w:sz w:val="18"/>
        </w:rPr>
        <w:t>python scripts/prepare_dct_v23_calibration.py \</w:t>
      </w:r>
    </w:p>
    <w:p>
      <w:pPr>
        <w:spacing w:after="40"/>
      </w:pPr>
      <w:r>
        <w:rPr>
          <w:rFonts w:ascii="Calibri" w:hAnsi="Calibri" w:eastAsia="宋体"/>
          <w:b w:val="0"/>
          <w:color w:val="000000"/>
          <w:sz w:val="18"/>
        </w:rPr>
        <w:t xml:space="preserve">  --config configs/dct_v23_blca_legacy_val_gain_calibrated.yaml \</w:t>
      </w:r>
    </w:p>
    <w:p>
      <w:pPr>
        <w:spacing w:after="40"/>
      </w:pPr>
      <w:r>
        <w:rPr>
          <w:rFonts w:ascii="Calibri" w:hAnsi="Calibri" w:eastAsia="宋体"/>
          <w:b w:val="0"/>
          <w:color w:val="000000"/>
          <w:sz w:val="18"/>
        </w:rPr>
        <w:t xml:space="preserve">  --output-dir /data1/DCT-Reg/实验档案/结果/E052_v23_20261014/calibration \</w:t>
      </w:r>
    </w:p>
    <w:p>
      <w:pPr>
        <w:spacing w:after="40"/>
      </w:pPr>
      <w:r>
        <w:rPr>
          <w:rFonts w:ascii="Calibri" w:hAnsi="Calibri" w:eastAsia="宋体"/>
          <w:b w:val="0"/>
          <w:color w:val="000000"/>
          <w:sz w:val="18"/>
        </w:rPr>
        <w:t xml:space="preserve">  --folds 0 1 2 3 4</w:t>
      </w:r>
    </w:p>
    <w:p>
      <w:pPr>
        <w:pStyle w:val="Heading1"/>
        <w:spacing w:before="240" w:after="160"/>
      </w:pPr>
      <w:r>
        <w:rPr>
          <w:rFonts w:ascii="Calibri" w:hAnsi="Calibri" w:eastAsia="宋体"/>
          <w:b/>
          <w:color w:val="000000"/>
          <w:sz w:val="30"/>
        </w:rPr>
        <w:t>再运行校准候选</w:t>
      </w:r>
    </w:p>
    <w:p>
      <w:pPr>
        <w:spacing w:after="40"/>
      </w:pPr>
      <w:r>
        <w:rPr>
          <w:rFonts w:ascii="Calibri" w:hAnsi="Calibri" w:eastAsia="宋体"/>
          <w:b w:val="0"/>
          <w:color w:val="000000"/>
          <w:sz w:val="18"/>
        </w:rPr>
        <w:t>python -m survot_rank.cli train \</w:t>
      </w:r>
    </w:p>
    <w:p>
      <w:pPr>
        <w:spacing w:after="40"/>
      </w:pPr>
      <w:r>
        <w:rPr>
          <w:rFonts w:ascii="Calibri" w:hAnsi="Calibri" w:eastAsia="宋体"/>
          <w:b w:val="0"/>
          <w:color w:val="000000"/>
          <w:sz w:val="18"/>
        </w:rPr>
        <w:t xml:space="preserve">  --config configs/dct_v23_blca_legacy_val_gain_calibrated.yaml</w:t>
      </w:r>
    </w:p>
    <w:p>
      <w:pPr>
        <w:pStyle w:val="Heading1"/>
        <w:spacing w:before="240" w:after="160"/>
      </w:pPr>
      <w:r>
        <w:rPr>
          <w:rFonts w:ascii="Calibri" w:hAnsi="Calibri" w:eastAsia="宋体"/>
          <w:b/>
          <w:color w:val="000000"/>
          <w:sz w:val="30"/>
        </w:rPr>
        <w:t>对照与读取规则</w:t>
      </w:r>
    </w:p>
    <w:p>
      <w:pPr>
        <w:spacing w:after="160" w:line="293" w:lineRule="auto"/>
      </w:pPr>
      <w:r>
        <w:rPr>
          <w:rFonts w:ascii="Calibri" w:hAnsi="Calibri" w:eastAsia="宋体"/>
          <w:b w:val="0"/>
          <w:color w:val="000000"/>
          <w:sz w:val="22"/>
        </w:rPr>
        <w:t>control 配置关闭重构，masked_plain 配置启用普通严格遮盖重构；这两臂不要求收益表。gain_calibrated 臂必须先取得与当前训练患者、基因顺序和来源匹配的收益表，缺失或不符时拒绝训练。</w:t>
      </w:r>
    </w:p>
    <w:p>
      <w:pPr>
        <w:spacing w:after="160" w:line="293" w:lineRule="auto"/>
      </w:pPr>
      <w:r>
        <w:rPr>
          <w:rFonts w:ascii="Calibri" w:hAnsi="Calibri" w:eastAsia="宋体"/>
          <w:b w:val="0"/>
          <w:color w:val="000000"/>
          <w:sz w:val="22"/>
        </w:rPr>
        <w:t>三臂采用同一小容量、优化器设置、BLCA 划分、种子 3 和 30 轮预算。当前配方为 legacy val，最佳验证记录不是独立外部测试结论。患者实验完成后仍需按匹配协议比较，并另行锁定独立测试。</w:t>
      </w:r>
    </w:p>
    <w:p>
      <w:pPr>
        <w:spacing w:after="160" w:line="293" w:lineRule="auto"/>
      </w:pPr>
      <w:r>
        <w:rPr>
          <w:rFonts w:ascii="Calibri" w:hAnsi="Calibri" w:eastAsia="宋体"/>
          <w:b w:val="0"/>
          <w:color w:val="000000"/>
          <w:sz w:val="22"/>
        </w:rPr>
        <w:t>辅助审计入口为 model.reconstruction_audit，可返回相同隐藏位置下的原生、学习计划和同实际边际独立计划的重构。该入口需显式调用；普通生存评估不会读取隐藏答案、运行重构或查询收益。</w:t>
      </w:r>
    </w:p>
    <w:sectPr w:rsidR="00FC693F" w:rsidRPr="0006063C" w:rsidSect="00034616">
      <w:footerReference w:type="default" r:id="rId14"/>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color w:val="000000"/>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宋体"/>
      <w:b/>
      <w:bCs/>
      <w:color w:val="000000"/>
      <w:sz w:val="28"/>
      <w:szCs w:val="28"/>
      <w:rFont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宋体"/>
      <w:b/>
      <w:bCs/>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宋体"/>
      <w:color w:val="000000"/>
      <w:spacing w:val="5"/>
      <w:kern w:val="28"/>
      <w:sz w:val="52"/>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宋体"/>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html/2508.00969v2" TargetMode="External"/><Relationship Id="rId10" Type="http://schemas.openxmlformats.org/officeDocument/2006/relationships/hyperlink" Target="https://arxiv.org/html/2602.07311" TargetMode="External"/><Relationship Id="rId11" Type="http://schemas.openxmlformats.org/officeDocument/2006/relationships/hyperlink" Target="https://github.com/AI4MyBUPT/MMOTR" TargetMode="External"/><Relationship Id="rId12" Type="http://schemas.openxmlformats.org/officeDocument/2006/relationships/hyperlink" Target="https://arxiv.org/html/2606.22770" TargetMode="External"/><Relationship Id="rId13" Type="http://schemas.openxmlformats.org/officeDocument/2006/relationships/hyperlink" Target="https://arxiv.org/html/2605.2003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v2.3 方法与模块说明</dc:title>
  <dc:subject>选择性跨模态运输与原始组学遮盖重构</dc:subject>
  <dc:creator>DCT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