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ind w:firstLine="0"/>
      </w:pPr>
      <w:r>
        <w:rPr>
          <w:rFonts w:ascii="Microsoft YaHei" w:hAnsi="Microsoft YaHei" w:eastAsia="Microsoft YaHei" w:cs="Microsoft YaHei"/>
          <w:b/>
          <w:i w:val="0"/>
          <w:color w:val="0B2545"/>
          <w:sz w:val="40"/>
        </w:rPr>
        <w:t>传输本身是否具有预后活性？面向多模态生存预测的可证伪传输审计</w:t>
      </w:r>
    </w:p>
    <w:p>
      <w:pPr>
        <w:pStyle w:val="AuthorLine"/>
        <w:ind w:firstLine="0"/>
      </w:pPr>
      <w:r>
        <w:rPr>
          <w:rFonts w:ascii="Microsoft YaHei" w:hAnsi="Microsoft YaHei" w:eastAsia="Microsoft YaHei" w:cs="Microsoft YaHei"/>
          <w:b w:val="0"/>
          <w:i w:val="0"/>
          <w:color w:val="374151"/>
          <w:sz w:val="22"/>
        </w:rPr>
        <w:t>作者¹  作者²</w:t>
      </w: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9360"/>
      </w:tblGrid>
      <w:tr>
        <w:trPr>
          <w:cantSplit/>
        </w:trPr>
        <w:tc>
          <w:tcPr>
            <w:tcW w:type="dxa" w:w="9360"/>
            <w:tcMar>
              <w:top w:w="80" w:type="dxa"/>
              <w:start w:w="120" w:type="dxa"/>
              <w:bottom w:w="80" w:type="dxa"/>
              <w:end w:w="120" w:type="dxa"/>
            </w:tcMar>
            <w:vAlign w:val="center"/>
            <w:shd w:fill="F4F6F9" w:val="clear"/>
            <w:tcBorders>
              <w:top w:val="single" w:sz="7" w:space="0" w:color="D9E1EA"/>
              <w:left w:val="single" w:sz="7" w:space="0" w:color="D9E1EA"/>
              <w:bottom w:val="single" w:sz="7" w:space="0" w:color="D9E1EA"/>
              <w:right w:val="single" w:sz="7" w:space="0" w:color="D9E1EA"/>
            </w:tcBorders>
          </w:tcPr>
          <w:p>
            <w:pPr>
              <w:spacing w:before="20" w:after="20" w:line="283" w:lineRule="auto"/>
              <w:ind w:firstLine="0"/>
            </w:pPr>
            <w:r>
              <w:rPr>
                <w:rFonts w:ascii="Microsoft YaHei" w:hAnsi="Microsoft YaHei" w:eastAsia="Microsoft YaHei" w:cs="Microsoft YaHei"/>
                <w:b/>
                <w:i w:val="0"/>
                <w:color w:val="425466"/>
                <w:sz w:val="18"/>
              </w:rPr>
              <w:t>论文状态</w:t>
            </w:r>
            <w:r>
              <w:rPr>
                <w:rFonts w:ascii="Microsoft YaHei" w:hAnsi="Microsoft YaHei" w:eastAsia="Microsoft YaHei" w:cs="Microsoft YaHei"/>
                <w:b w:val="0"/>
                <w:i w:val="0"/>
                <w:color w:val="425466"/>
                <w:sz w:val="18"/>
              </w:rPr>
              <w:t xml:space="preserve">：草稿 v4（图文整合、机制核对与证据门同步）。 </w:t>
            </w:r>
            <w:r>
              <w:rPr>
                <w:rFonts w:ascii="Microsoft YaHei" w:hAnsi="Microsoft YaHei" w:eastAsia="Microsoft YaHei" w:cs="Microsoft YaHei"/>
                <w:b/>
                <w:i w:val="0"/>
                <w:color w:val="425466"/>
                <w:sz w:val="18"/>
              </w:rPr>
              <w:t>方法主线</w:t>
            </w:r>
            <w:r>
              <w:rPr>
                <w:rFonts w:ascii="Microsoft YaHei" w:hAnsi="Microsoft YaHei" w:eastAsia="Microsoft YaHei" w:cs="Microsoft YaHei"/>
                <w:b w:val="0"/>
                <w:i w:val="0"/>
                <w:color w:val="425466"/>
                <w:sz w:val="18"/>
              </w:rPr>
              <w:t>：DCT v3.10 / DCT-Reg（</w:t>
            </w:r>
            <w:r>
              <w:rPr>
                <w:rFonts w:ascii="Calibri" w:hAnsi="Calibri" w:eastAsia="Microsoft YaHei" w:cs="Calibri"/>
                <w:b w:val="0"/>
                <w:i w:val="0"/>
                <w:color w:val="3F4C5A"/>
                <w:sz w:val="17"/>
              </w:rPr>
              <w:t>DCTV310DirectionalRegularizedTransport</w:t>
            </w:r>
            <w:r>
              <w:rPr>
                <w:rFonts w:ascii="Microsoft YaHei" w:hAnsi="Microsoft YaHei" w:eastAsia="Microsoft YaHei" w:cs="Microsoft YaHei"/>
                <w:b w:val="0"/>
                <w:i w:val="0"/>
                <w:color w:val="425466"/>
                <w:sz w:val="18"/>
              </w:rPr>
              <w:t xml:space="preserve">，目录 </w:t>
            </w:r>
            <w:r>
              <w:rPr>
                <w:rFonts w:ascii="Calibri" w:hAnsi="Calibri" w:eastAsia="Microsoft YaHei" w:cs="Calibri"/>
                <w:b w:val="0"/>
                <w:i w:val="0"/>
                <w:color w:val="3F4C5A"/>
                <w:sz w:val="17"/>
              </w:rPr>
              <w:t>dct_v310_directional_regularized_transport</w:t>
            </w:r>
            <w:r>
              <w:rPr>
                <w:rFonts w:ascii="Microsoft YaHei" w:hAnsi="Microsoft YaHei" w:eastAsia="Microsoft YaHei" w:cs="Microsoft YaHei"/>
                <w:b w:val="0"/>
                <w:i w:val="0"/>
                <w:color w:val="425466"/>
                <w:sz w:val="18"/>
              </w:rPr>
              <w:t xml:space="preserve">；论文级不可变目标：1·NLL + 0.10·IPCW-排序 + 0.05·方向，剂量/重构/ETAR/列表式/MGPTR/自适应 全部强制置零）。 </w:t>
            </w:r>
            <w:r>
              <w:rPr>
                <w:rFonts w:ascii="Microsoft YaHei" w:hAnsi="Microsoft YaHei" w:eastAsia="Microsoft YaHei" w:cs="Microsoft YaHei"/>
                <w:b/>
                <w:i w:val="0"/>
                <w:color w:val="425466"/>
                <w:sz w:val="18"/>
              </w:rPr>
              <w:t>图文状态</w:t>
            </w:r>
            <w:r>
              <w:rPr>
                <w:rFonts w:ascii="Microsoft YaHei" w:hAnsi="Microsoft YaHei" w:eastAsia="Microsoft YaHei" w:cs="Microsoft YaHei"/>
                <w:b w:val="0"/>
                <w:i w:val="0"/>
                <w:color w:val="425466"/>
                <w:sz w:val="18"/>
              </w:rPr>
              <w:t>：Figure 1 概念图与 Figure 2 网络架构图已进入主稿；Figure 3、Figure 4、Figure S1 与 Figure S2 仍受实验与计划导出证据门约束，详见附录 A。</w:t>
            </w:r>
          </w:p>
        </w:tc>
      </w:tr>
    </w:tbl>
    <w:p>
      <w:pPr>
        <w:spacing w:before="0" w:after="40"/>
      </w:pPr>
    </w:p>
    <w:p>
      <w:pPr>
        <w:pStyle w:val="AbstractLabel"/>
        <w:ind w:firstLine="0"/>
      </w:pPr>
      <w:r>
        <w:rPr>
          <w:rFonts w:ascii="Microsoft YaHei" w:hAnsi="Microsoft YaHei" w:eastAsia="Microsoft YaHei" w:cs="Microsoft YaHei"/>
          <w:b/>
          <w:i w:val="0"/>
          <w:color w:val="0B2545"/>
          <w:sz w:val="24"/>
        </w:rPr>
        <w:t>摘要</w:t>
      </w:r>
    </w:p>
    <w:p>
      <w:pPr>
        <w:ind w:firstLine="446"/>
      </w:pPr>
      <w:r>
        <w:rPr>
          <w:rFonts w:ascii="Microsoft YaHei" w:hAnsi="Microsoft YaHei" w:eastAsia="Microsoft YaHei" w:cs="Microsoft YaHei"/>
          <w:b w:val="0"/>
          <w:i w:val="0"/>
          <w:sz w:val="22"/>
        </w:rPr>
        <w:t>多模态生存预测模型能够联合全幅病理切片与分子通路数据，但预测准确并不等于其跨模态传输机制真实参与了风险输出。当模型声称“学习了跨模态对应关系”时，仍需回答一个可独立检验的问题：学到的传输结构是否承载了与生存结局方向一致的信息，还是仅作为可被预测头绕过的中间表示？</w:t>
      </w:r>
    </w:p>
    <w:p>
      <w:pPr>
        <w:ind w:firstLine="446"/>
      </w:pPr>
      <w:r>
        <w:rPr>
          <w:rFonts w:ascii="Microsoft YaHei" w:hAnsi="Microsoft YaHei" w:eastAsia="Microsoft YaHei" w:cs="Microsoft YaHei"/>
          <w:b w:val="0"/>
          <w:i w:val="0"/>
          <w:sz w:val="22"/>
        </w:rPr>
        <w:t>本文提出分布反事实传输（Distributional Counterfactual Transport，DCT），将传输计划由不可检验的隐变量改造为可干预、可证伪的模型机制。DCT 仅使用训练折构建删失感知的低、高风险代价锚点，在冻结模型内沿锚点方向实施受控代价干预，并在原边际约束下重新求解 Sinkhorn。由事实、低风险干预和高风险干预组成的风险轨迹，再通过方向一致率、剂量单调率、计划总变差及零假设对照进行审计。</w:t>
      </w:r>
    </w:p>
    <w:p>
      <w:pPr>
        <w:ind w:firstLine="446"/>
      </w:pPr>
      <w:r>
        <w:rPr>
          <w:rFonts w:ascii="Microsoft YaHei" w:hAnsi="Microsoft YaHei" w:eastAsia="Microsoft YaHei" w:cs="Microsoft YaHei"/>
          <w:b w:val="0"/>
          <w:i w:val="0"/>
          <w:sz w:val="22"/>
        </w:rPr>
        <w:t>在六个 TCGA 队列上，</w:t>
      </w:r>
      <w:r>
        <w:rPr>
          <w:rFonts w:ascii="Microsoft YaHei" w:hAnsi="Microsoft YaHei" w:eastAsia="Microsoft YaHei" w:cs="Microsoft YaHei"/>
          <w:b/>
          <w:i w:val="0"/>
          <w:sz w:val="22"/>
          <w:shd w:fill="FFF2CC"/>
        </w:rPr>
        <w:t>[占位：一句预测性能总结]</w:t>
      </w:r>
      <w:r>
        <w:rPr>
          <w:rFonts w:ascii="Microsoft YaHei" w:hAnsi="Microsoft YaHei" w:eastAsia="Microsoft YaHei" w:cs="Microsoft YaHei"/>
          <w:b w:val="0"/>
          <w:i w:val="0"/>
          <w:sz w:val="22"/>
        </w:rPr>
        <w:t>；机制审计显示，</w:t>
      </w:r>
      <w:r>
        <w:rPr>
          <w:rFonts w:ascii="Microsoft YaHei" w:hAnsi="Microsoft YaHei" w:eastAsia="Microsoft YaHei" w:cs="Microsoft YaHei"/>
          <w:b/>
          <w:i w:val="0"/>
          <w:sz w:val="22"/>
          <w:shd w:fill="FFF2CC"/>
        </w:rPr>
        <w:t>[占位：DCR、DMR、Plan TV 与零假设的核心结果]</w:t>
      </w:r>
      <w:r>
        <w:rPr>
          <w:rFonts w:ascii="Microsoft YaHei" w:hAnsi="Microsoft YaHei" w:eastAsia="Microsoft YaHei" w:cs="Microsoft YaHei"/>
          <w:b w:val="0"/>
          <w:i w:val="0"/>
          <w:sz w:val="22"/>
        </w:rPr>
        <w:t>。本文能够支持的结论限于：在同分布、冻结模型和预定义代价干预下，传输链条是否呈现与风险方向一致的模型内部响应；该审计不识别患者级治疗效应，也不替代跨机构外部验证。</w:t>
      </w:r>
    </w:p>
    <w:p>
      <w:pPr>
        <w:spacing w:after="200"/>
        <w:ind w:firstLine="0"/>
      </w:pPr>
      <w:r>
        <w:rPr>
          <w:rFonts w:ascii="Microsoft YaHei" w:hAnsi="Microsoft YaHei" w:eastAsia="Microsoft YaHei" w:cs="Microsoft YaHei"/>
          <w:b/>
          <w:i w:val="0"/>
          <w:sz w:val="20"/>
        </w:rPr>
        <w:t>关键词</w:t>
      </w:r>
      <w:r>
        <w:rPr>
          <w:rFonts w:ascii="Microsoft YaHei" w:hAnsi="Microsoft YaHei" w:eastAsia="Microsoft YaHei" w:cs="Microsoft YaHei"/>
          <w:b w:val="0"/>
          <w:i w:val="0"/>
          <w:sz w:val="20"/>
        </w:rPr>
        <w:t>：多模态生存预测；最优传输；机制审计；生存分析；计算病理学</w:t>
      </w:r>
    </w:p>
    <w:p>
      <w:pPr>
        <w:pStyle w:val="Heading1"/>
        <w:keepNext/>
        <w:ind w:firstLine="0"/>
      </w:pPr>
      <w:r>
        <w:rPr>
          <w:rFonts w:ascii="Microsoft YaHei" w:hAnsi="Microsoft YaHei" w:eastAsia="Microsoft YaHei" w:cs="Microsoft YaHei"/>
          <w:b/>
          <w:i w:val="0"/>
          <w:color w:val="2E74B5"/>
          <w:sz w:val="32"/>
        </w:rPr>
        <w:t>1  引言</w:t>
      </w:r>
    </w:p>
    <w:p>
      <w:pPr>
        <w:ind w:firstLine="446"/>
      </w:pPr>
      <w:r>
        <w:rPr>
          <w:rFonts w:ascii="Microsoft YaHei" w:hAnsi="Microsoft YaHei" w:eastAsia="Microsoft YaHei" w:cs="Microsoft YaHei"/>
          <w:b w:val="0"/>
          <w:i w:val="0"/>
          <w:sz w:val="22"/>
        </w:rPr>
        <w:t>病理形态与分子通路从不同层面提供互补的预后信息。病理切片记录组织架构、细胞组成与微环境状态，通路水平组学则刻画分子程序的活动；联合建模有望同时利用表型与分子证据，但这种潜力是否真正转化为跨模态依赖，仍需直接检验。</w:t>
      </w:r>
    </w:p>
    <w:p>
      <w:pPr>
        <w:ind w:firstLine="446"/>
      </w:pPr>
      <w:r>
        <w:rPr>
          <w:rFonts w:ascii="Microsoft YaHei" w:hAnsi="Microsoft YaHei" w:eastAsia="Microsoft YaHei" w:cs="Microsoft YaHei"/>
          <w:b w:val="0"/>
          <w:i w:val="0"/>
          <w:sz w:val="22"/>
        </w:rPr>
        <w:t>跨模态生存建模已经从特征拼接走向结构化交互，但其有效性仍主要由下游 C-index 间接证明。注意力方法以成对交互融合病理与组学，MOTCat 等方法进一步使用 Sinkhorn 求解跨模态耦合；CMTA 则采用双向翻译与交叉注意力。融合结构日益复杂，相应的机制级评价却仍不充分。</w:t>
      </w:r>
    </w:p>
    <w:p>
      <w:pPr>
        <w:ind w:firstLine="446"/>
      </w:pPr>
      <w:r>
        <w:rPr>
          <w:rFonts w:ascii="Microsoft YaHei" w:hAnsi="Microsoft YaHei" w:eastAsia="Microsoft YaHei" w:cs="Microsoft YaHei"/>
          <w:b w:val="0"/>
          <w:i w:val="0"/>
          <w:sz w:val="22"/>
        </w:rPr>
        <w:t>高 C-index 不能回答模型是否真正利用了所学习的传输结构。风险输出可能真正依赖模型学得的跨模态耦合，也可能主要来自单一模态或共享表示中的旁路；只要最终排序相近，两种机制在常规性能表中便不可区分。</w:t>
      </w:r>
    </w:p>
    <w:p>
      <w:pPr>
        <w:ind w:firstLine="446"/>
      </w:pPr>
      <w:r>
        <w:rPr>
          <w:rFonts w:ascii="Microsoft YaHei" w:hAnsi="Microsoft YaHei" w:eastAsia="Microsoft YaHei" w:cs="Microsoft YaHei"/>
          <w:b w:val="0"/>
          <w:i w:val="0"/>
          <w:sz w:val="22"/>
        </w:rPr>
        <w:t>这种风险仅凭 C-index 无法被探测到——因为相近的排序性能可能来自完全不同的内部机制。一个模型即使呈现表面上具有生物学合理性的 patch–pathway 耦合，也可能在预测时绕过该耦合。此时，传输计划只是“乘客”，而不是“驱动因素”；其可视化不能单独构成机制证据。</w:t>
      </w:r>
    </w:p>
    <w:p>
      <w:pPr>
        <w:ind w:firstLine="446"/>
      </w:pPr>
      <w:r>
        <w:rPr>
          <w:rFonts w:ascii="Microsoft YaHei" w:hAnsi="Microsoft YaHei" w:eastAsia="Microsoft YaHei" w:cs="Microsoft YaHei"/>
          <w:b w:val="0"/>
          <w:i w:val="0"/>
          <w:sz w:val="22"/>
        </w:rPr>
        <w:t>无法识别“乘客式传输”，会同时削弱机制解释的可信度和对跨域泛化的判断。为此，本文主张：</w:t>
      </w:r>
      <w:r>
        <w:rPr>
          <w:rFonts w:ascii="Microsoft YaHei" w:hAnsi="Microsoft YaHei" w:eastAsia="Microsoft YaHei" w:cs="Microsoft YaHei"/>
          <w:b/>
          <w:i w:val="0"/>
          <w:sz w:val="22"/>
        </w:rPr>
        <w:t>凡是声称具有预后意义的传输结构，都应进入一种上游代价可受控扰动、响应可设置对照且允许被证伪的验证协议。</w:t>
      </w:r>
    </w:p>
    <w:p>
      <w:pPr>
        <w:ind w:firstLine="446"/>
      </w:pPr>
      <w:r>
        <w:rPr>
          <w:rFonts w:ascii="Microsoft YaHei" w:hAnsi="Microsoft YaHei" w:eastAsia="Microsoft YaHei" w:cs="Microsoft YaHei"/>
          <w:b w:val="0"/>
          <w:i w:val="0"/>
          <w:sz w:val="22"/>
        </w:rPr>
        <w:t>图 1 概括了本文的问题定位。常规证据通常同时展示较高的 C-index 与表面合理的跨模态图，但这两类证据不能区分两种内部状态：传输可能只是被预测路径绕过的“乘客”，也可能是受扰动后会引起系统风险响应的活跃计算环节。DCT 因此不把热图外观当作结论，而是将训练折风险参考、受控代价干预、运输重求解、共享风险读取与针对性零假设组织为一条允许失败的审计链。图中的方向与曲线仅说明待检验命题，不表示已经取得相应实验结果。</w:t>
      </w:r>
    </w:p>
    <w:tbl>
      <w:tblPr>
        <w:tblStyle w:val="TableGrid"/>
        <w:tblW w:type="dxa" w:w="9360"/>
        <w:tblLayout w:type="fixed"/>
        <w:tblLook w:firstColumn="1" w:firstRow="1" w:lastColumn="0" w:lastRow="0" w:noHBand="0" w:noVBand="1" w:val="04A0"/>
        <w:tblInd w:w="120" w:type="dxa"/>
        <w:tblBorders>
          <w:top w:val="single" w:sz="5" w:space="0" w:color="7A5A00"/>
          <w:left w:val="single" w:sz="5" w:space="0" w:color="7A5A00"/>
          <w:bottom w:val="single" w:sz="5" w:space="0" w:color="7A5A00"/>
          <w:right w:val="single" w:sz="5" w:space="0" w:color="7A5A00"/>
          <w:insideH w:val="single" w:sz="5" w:space="0" w:color="7A5A00"/>
          <w:insideV w:val="single" w:sz="5" w:space="0" w:color="7A5A00"/>
        </w:tblBorders>
      </w:tblPr>
      <w:tblGrid>
        <w:gridCol w:w="9360"/>
      </w:tblGrid>
      <w:tr>
        <w:trPr>
          <w:cantSplit/>
        </w:trPr>
        <w:tc>
          <w:tcPr>
            <w:tcW w:type="dxa" w:w="9360"/>
            <w:tcMar>
              <w:top w:w="80" w:type="dxa"/>
              <w:start w:w="120" w:type="dxa"/>
              <w:bottom w:w="80" w:type="dxa"/>
              <w:end w:w="120" w:type="dxa"/>
            </w:tcMar>
            <w:vAlign w:val="center"/>
            <w:shd w:fill="FFF4CC" w:val="clear"/>
            <w:tcBorders>
              <w:top w:val="single" w:sz="7" w:space="0" w:color="7A5A00"/>
              <w:left w:val="single" w:sz="7" w:space="0" w:color="7A5A00"/>
              <w:bottom w:val="single" w:sz="7" w:space="0" w:color="7A5A00"/>
              <w:right w:val="single" w:sz="7" w:space="0" w:color="7A5A00"/>
            </w:tcBorders>
          </w:tcPr>
          <w:p>
            <w:pPr>
              <w:spacing w:before="20" w:after="20" w:line="283" w:lineRule="auto"/>
              <w:ind w:firstLine="0"/>
            </w:pPr>
            <w:r>
              <w:rPr>
                <w:rFonts w:ascii="Microsoft YaHei" w:hAnsi="Microsoft YaHei" w:eastAsia="Microsoft YaHei" w:cs="Microsoft YaHei"/>
                <w:b/>
                <w:i w:val="0"/>
                <w:color w:val="7A5A00"/>
                <w:sz w:val="18"/>
              </w:rPr>
              <w:t>Figure 1 定稿校正门（投稿前删除本提示）</w:t>
            </w:r>
            <w:r>
              <w:rPr>
                <w:rFonts w:ascii="Microsoft YaHei" w:hAnsi="Microsoft YaHei" w:eastAsia="Microsoft YaHei" w:cs="Microsoft YaHei"/>
                <w:b w:val="0"/>
                <w:i w:val="0"/>
                <w:color w:val="7A5A00"/>
                <w:sz w:val="18"/>
              </w:rPr>
              <w:t>：当前概念图的主体叙事可用，但 Panel C 中“clinically or biologically relevant anchors”应改为“censoring-aware train-fold risk anchors”；底部三项 null 应依次改为“shuffled/noisy risk reference”“stage-boundary perturbation”“fixed coupling (no re-solve)”。完成图内文字校正前，本图只作为草稿叙事占位。</w:t>
            </w:r>
          </w:p>
        </w:tc>
      </w:tr>
    </w:tbl>
    <w:p>
      <w:pPr>
        <w:spacing w:before="0" w:after="40"/>
      </w:pPr>
    </w:p>
    <w:p>
      <w:pPr>
        <w:keepNext/>
        <w:spacing w:before="120" w:after="40"/>
        <w:jc w:val="center"/>
      </w:pPr>
      <w:r>
        <w:rPr>
          <w:rFonts w:ascii="Microsoft YaHei" w:hAnsi="Microsoft YaHei" w:eastAsia="Microsoft YaHei" w:cs="Microsoft YaHei"/>
          <w:sz w:val="20"/>
        </w:rPr>
        <w:drawing>
          <wp:inline xmlns:a="http://schemas.openxmlformats.org/drawingml/2006/main" xmlns:pic="http://schemas.openxmlformats.org/drawingml/2006/picture">
            <wp:extent cx="5806440" cy="4108514"/>
            <wp:docPr id="1" name="Picture 1" descr="Figure 1：Passenger or Driver——预后传输的可证伪审计概念图" title="Figure 1：Passenger or Driver——预后传输的可证伪审计概念图"/>
            <wp:cNvGraphicFramePr>
              <a:graphicFrameLocks noChangeAspect="1"/>
            </wp:cNvGraphicFramePr>
            <a:graphic>
              <a:graphicData uri="http://schemas.openxmlformats.org/drawingml/2006/picture">
                <pic:pic>
                  <pic:nvPicPr>
                    <pic:cNvPr id="0" name="Passenger or Driver.png"/>
                    <pic:cNvPicPr/>
                  </pic:nvPicPr>
                  <pic:blipFill>
                    <a:blip r:embed="rId11"/>
                    <a:stretch>
                      <a:fillRect/>
                    </a:stretch>
                  </pic:blipFill>
                  <pic:spPr>
                    <a:xfrm>
                      <a:off x="0" y="0"/>
                      <a:ext cx="5806440" cy="4108514"/>
                    </a:xfrm>
                    <a:prstGeom prst="rect"/>
                  </pic:spPr>
                </pic:pic>
              </a:graphicData>
            </a:graphic>
          </wp:inline>
        </w:drawing>
      </w:r>
    </w:p>
    <w:p>
      <w:pPr>
        <w:pStyle w:val="Caption"/>
        <w:spacing w:before="0" w:after="160"/>
        <w:ind w:firstLine="0"/>
        <w:jc w:val="center"/>
      </w:pPr>
      <w:r>
        <w:rPr>
          <w:rFonts w:ascii="Microsoft YaHei" w:hAnsi="Microsoft YaHei" w:eastAsia="Microsoft YaHei" w:cs="Microsoft YaHei"/>
          <w:b w:val="0"/>
          <w:i/>
          <w:color w:val="46515E"/>
          <w:sz w:val="18"/>
        </w:rPr>
        <w:t>图 1　“乘客”还是“驱动因素”？常规预测表现和运输可视化不能证明运输真实参与风险输出。DCT 在模型代价空间构造训练折风险方向，改变代价后重新求解运输计划，并以同一风险读取器获得响应；DCR、DMR、Plan TV 与针对性零假设分别检查方向、路径序关系、计划重构及响应特异性。该概念图描述审计逻辑，不构成患者治疗干预或实验结果。</w:t>
      </w:r>
    </w:p>
    <w:p>
      <w:pPr>
        <w:ind w:firstLine="446"/>
      </w:pPr>
      <w:r>
        <w:rPr>
          <w:rFonts w:ascii="Microsoft YaHei" w:hAnsi="Microsoft YaHei" w:eastAsia="Microsoft YaHei" w:cs="Microsoft YaHei"/>
          <w:b w:val="0"/>
          <w:i w:val="0"/>
          <w:sz w:val="22"/>
        </w:rPr>
        <w:t xml:space="preserve">DCT 将这一主张落实为“参考方向—代价干预—计划重求解—风险响应”的闭环。模型仅从训练折估计删失感知的低、高风险代价锚点，并在训练阶段以方向损失约束两个端点响应；评估时冻结模型，分别求解低、高风险端点，并在高风险五点强度路径的每个 </w:t>
      </w:r>
      <m:oMath>
        <m:r>
          <m:t>α</m:t>
        </m:r>
      </m:oMath>
      <w:r>
        <w:rPr>
          <w:rFonts w:ascii="Microsoft YaHei" w:hAnsi="Microsoft YaHei" w:eastAsia="Microsoft YaHei" w:cs="Microsoft YaHei"/>
          <w:b w:val="0"/>
          <w:i w:val="0"/>
          <w:sz w:val="22"/>
        </w:rPr>
        <w:t xml:space="preserve"> 分支上按原边际重新求解 Sinkhorn。最后，模型记录事实与干预后的患者级风险响应；待审计导出补齐后，再同步保存对应干预计划。若响应缺乏预期端点方向、高风险五点路径的严格序关系或可观测的计划重构，传输预后活性的主张即被削弱。</w:t>
      </w:r>
    </w:p>
    <w:p>
      <w:pPr>
        <w:ind w:firstLine="446"/>
      </w:pPr>
      <w:r>
        <w:rPr>
          <w:rFonts w:ascii="Microsoft YaHei" w:hAnsi="Microsoft YaHei" w:eastAsia="Microsoft YaHei" w:cs="Microsoft YaHei"/>
          <w:b w:val="0"/>
          <w:i w:val="0"/>
          <w:sz w:val="22"/>
        </w:rPr>
        <w:t>本文不以刷新 C-index 为目标，而是把“所声称的传输链是否呈现可检测响应”转化为可检验问题。DCT 首先定义传输预后活性；随后以训练折内的删失感知风险集统计量确定代价干预方向，并在训练时以方向损失约束端点响应；最后通过 DCR、DMR、Plan TV 与针对性零假设评估响应的方向、路径和计划重构。由此，多模态模型的评价从单一性能比较推进到具有明确边界的机制审计。</w:t>
      </w:r>
    </w:p>
    <w:p>
      <w:pPr>
        <w:pStyle w:val="Heading1"/>
        <w:keepNext/>
        <w:ind w:firstLine="0"/>
      </w:pPr>
      <w:r>
        <w:rPr>
          <w:rFonts w:ascii="Microsoft YaHei" w:hAnsi="Microsoft YaHei" w:eastAsia="Microsoft YaHei" w:cs="Microsoft YaHei"/>
          <w:b/>
          <w:i w:val="0"/>
          <w:color w:val="2E74B5"/>
          <w:sz w:val="32"/>
        </w:rPr>
        <w:t>2  相关工作与问题定位</w:t>
      </w:r>
    </w:p>
    <w:p>
      <w:pPr>
        <w:ind w:firstLine="446"/>
      </w:pPr>
      <w:r>
        <w:rPr>
          <w:rFonts w:ascii="Microsoft YaHei" w:hAnsi="Microsoft YaHei" w:eastAsia="Microsoft YaHei" w:cs="Microsoft YaHei"/>
          <w:b w:val="0"/>
          <w:i w:val="0"/>
          <w:sz w:val="22"/>
        </w:rPr>
        <w:t>多模态生存预测已经从特征拼接发展到注意力、原型学习与最优传输，但融合形式的复杂化并未带来同等强度的机制验证。现有研究通常以 C-index 作为融合有效性的主要证据；这一指标能够衡量排序性能，却不能判断某一跨模态结构是否真正参与风险输出。因此，关键缺口不再只是“还能怎样融合”，而是“如何验证所声称的融合机制确实生效”。围绕这一问题，现有文献与公开实现呈现出四个相互关联的盲点。</w:t>
      </w:r>
    </w:p>
    <w:p>
      <w:pPr>
        <w:ind w:firstLine="446"/>
      </w:pPr>
      <w:r>
        <w:rPr>
          <w:rFonts w:ascii="Microsoft YaHei" w:hAnsi="Microsoft YaHei" w:eastAsia="Microsoft YaHei" w:cs="Microsoft YaHei"/>
          <w:b/>
          <w:i w:val="0"/>
          <w:sz w:val="22"/>
        </w:rPr>
        <w:t>盲点一：OT 常被当作一次性对齐，而不是可干预变量。</w:t>
      </w:r>
      <w:r>
        <w:rPr>
          <w:rFonts w:ascii="Microsoft YaHei" w:hAnsi="Microsoft YaHei" w:eastAsia="Microsoft YaHei" w:cs="Microsoft YaHei"/>
          <w:b w:val="0"/>
          <w:i w:val="0"/>
          <w:sz w:val="22"/>
        </w:rPr>
        <w:t xml:space="preserve"> MOTCat 在单次前向中求解耦合，其公开实现将代价图从梯度路径中分离，返回的 OT 距离也未进入生存目标；MMP 的默认训练脚本采用非 OT 的协同注意力，OT 头仅见于消融路径，且同样没有在代价改变后重新求解。CMTA 与 MCAT 是本文纳入比较的非 OT 注意力方法。另有实现会随机重切 WSI patch，并在各 micro-batch 内独立求解计划，使同一患者的耦合还受到切片方式影响。对于确实使用 OT 的公开路径，共同缺口是：计划形成后没有被当作能够施加预定义扰动并重新优化的实验变量。DCT 分别重求解低、高风险端点，并在当前 DMR 审计的高风险五点路径上逐个重求解 </w:t>
      </w:r>
      <m:oMath>
        <m:r>
          <m:t>α</m:t>
        </m:r>
      </m:oMath>
      <w:r>
        <w:rPr>
          <w:rFonts w:ascii="Microsoft YaHei" w:hAnsi="Microsoft YaHei" w:eastAsia="Microsoft YaHei" w:cs="Microsoft YaHei"/>
          <w:b w:val="0"/>
          <w:i w:val="0"/>
          <w:sz w:val="22"/>
        </w:rPr>
        <w:t xml:space="preserve"> 分支。</w:t>
      </w:r>
    </w:p>
    <w:p>
      <w:pPr>
        <w:ind w:firstLine="446"/>
      </w:pPr>
      <w:r>
        <w:rPr>
          <w:rFonts w:ascii="Microsoft YaHei" w:hAnsi="Microsoft YaHei" w:eastAsia="Microsoft YaHei" w:cs="Microsoft YaHei"/>
          <w:b/>
          <w:i w:val="0"/>
          <w:sz w:val="22"/>
        </w:rPr>
        <w:t>盲点二：模态平衡通常依赖融合模块外的辅助目标。</w:t>
      </w:r>
      <w:r>
        <w:rPr>
          <w:rFonts w:ascii="Microsoft YaHei" w:hAnsi="Microsoft YaHei" w:eastAsia="Microsoft YaHei" w:cs="Microsoft YaHei"/>
          <w:b w:val="0"/>
          <w:i w:val="0"/>
          <w:sz w:val="22"/>
        </w:rPr>
        <w:t xml:space="preserve"> 例如，BMLSurv 使用单模态辅助头缓解梯度不平衡，CMTA 使用病理与组学的双向重建误差。这些目标可以改善表示学习，却不直接回答传输计划是否参与风险输出。DCT 在计划层使用固定边际约束来限制两侧质量分配，并另行审计计划变化与风险响应；需要强调的是，边际守恒本身并不等于已经消除模态支配，固定耦合和风险响应对照也只能评估并削弱旁路解释，不能排除共享表示混杂。</w:t>
      </w:r>
    </w:p>
    <w:p>
      <w:pPr>
        <w:ind w:firstLine="446"/>
      </w:pPr>
      <w:r>
        <w:rPr>
          <w:rFonts w:ascii="Microsoft YaHei" w:hAnsi="Microsoft YaHei" w:eastAsia="Microsoft YaHei" w:cs="Microsoft YaHei"/>
          <w:b/>
          <w:i w:val="0"/>
          <w:sz w:val="22"/>
        </w:rPr>
        <w:t>盲点三：跨癌种平均结果容易掩盖融合收益的异质性。</w:t>
      </w:r>
      <w:r>
        <w:rPr>
          <w:rFonts w:ascii="Microsoft YaHei" w:hAnsi="Microsoft YaHei" w:eastAsia="Microsoft YaHei" w:cs="Microsoft YaHei"/>
          <w:b w:val="0"/>
          <w:i w:val="0"/>
          <w:sz w:val="22"/>
        </w:rPr>
        <w:t xml:space="preserve"> 不同工作覆盖的癌种数量、单模态基线和实现协议并不完全一致，而公开分项结果显示，多模态相对单模态的收益可能在队列之间改变方向。在上述工作中，这类异质性多作为分项结果呈现，尚少被作为独立的机制问题系统讨论；因此，单一平均 C-index 不足以代表跨模态协同在每个队列中都成立。</w:t>
      </w:r>
    </w:p>
    <w:p>
      <w:pPr>
        <w:ind w:firstLine="446"/>
      </w:pPr>
      <w:r>
        <w:rPr>
          <w:rFonts w:ascii="Microsoft YaHei" w:hAnsi="Microsoft YaHei" w:eastAsia="Microsoft YaHei" w:cs="Microsoft YaHei"/>
          <w:b/>
          <w:i w:val="0"/>
          <w:sz w:val="22"/>
        </w:rPr>
        <w:t>盲点四：上述方法公开展示的解释缺少患者级、可复查的干预轨迹。</w:t>
      </w:r>
      <w:r>
        <w:rPr>
          <w:rFonts w:ascii="Microsoft YaHei" w:hAnsi="Microsoft YaHei" w:eastAsia="Microsoft YaHei" w:cs="Microsoft YaHei"/>
          <w:b w:val="0"/>
          <w:i w:val="0"/>
          <w:sz w:val="22"/>
        </w:rPr>
        <w:t xml:space="preserve"> patch 选择图、prototype–pathway 关联或注意力热图能够描述模型“看到了什么”，却不能展示同一患者在事实、低风险干预和高风险干预下，计划如何改变以及风险是否按预期响应。DCT 因此保留三状态轨迹，并以 DCR 检验端点方向、以 DMR 检验高风险五点路径的严格序关系、以 Plan TV 检验计划重构。</w:t>
      </w:r>
    </w:p>
    <w:p>
      <w:pPr>
        <w:ind w:firstLine="446"/>
      </w:pPr>
      <w:r>
        <w:rPr>
          <w:rFonts w:ascii="Microsoft YaHei" w:hAnsi="Microsoft YaHei" w:eastAsia="Microsoft YaHei" w:cs="Microsoft YaHei"/>
          <w:b w:val="0"/>
          <w:i w:val="0"/>
          <w:sz w:val="22"/>
        </w:rPr>
        <w:t>基于上述四个盲点，本文提出 DCT，将最优传输由仅供预测消费的中间量转化为可证伪的审计对象。其新意不在于把 OT 再嵌入一个预测器，而在于为“代价—计划—风险”链条建立预先定义、可失败的验证协议。</w:t>
      </w:r>
    </w:p>
    <w:p>
      <w:pPr>
        <w:pStyle w:val="Heading1"/>
        <w:keepNext/>
        <w:ind w:firstLine="0"/>
      </w:pPr>
      <w:r>
        <w:rPr>
          <w:rFonts w:ascii="Microsoft YaHei" w:hAnsi="Microsoft YaHei" w:eastAsia="Microsoft YaHei" w:cs="Microsoft YaHei"/>
          <w:b/>
          <w:i w:val="0"/>
          <w:color w:val="2E74B5"/>
          <w:sz w:val="32"/>
        </w:rPr>
        <w:t>3  方法</w:t>
      </w:r>
    </w:p>
    <w:p>
      <w:pPr>
        <w:pStyle w:val="Heading2"/>
        <w:keepNext/>
        <w:ind w:firstLine="0"/>
      </w:pPr>
      <w:r>
        <w:rPr>
          <w:rFonts w:ascii="Microsoft YaHei" w:hAnsi="Microsoft YaHei" w:eastAsia="Microsoft YaHei" w:cs="Microsoft YaHei"/>
          <w:b/>
          <w:i w:val="0"/>
          <w:color w:val="2E74B5"/>
          <w:sz w:val="26"/>
        </w:rPr>
        <w:t>3.1  问题形式化</w:t>
      </w:r>
    </w:p>
    <w:p>
      <w:pPr>
        <w:ind w:firstLine="446"/>
      </w:pPr>
      <w:r>
        <w:rPr>
          <w:rFonts w:ascii="Microsoft YaHei" w:hAnsi="Microsoft YaHei" w:eastAsia="Microsoft YaHei" w:cs="Microsoft YaHei"/>
          <w:b w:val="0"/>
          <w:i w:val="0"/>
          <w:sz w:val="22"/>
        </w:rPr>
        <w:t xml:space="preserve">设训练数据为 </w:t>
      </w:r>
      <m:oMath>
        <m:r>
          <m:rPr>
            <m:scr m:val="script"/>
          </m:rPr>
          <m:t>D</m:t>
        </m:r>
        <m:r>
          <m:t>={(</m:t>
        </m:r>
        <m:sSubSup>
          <m:e>
            <m:r>
              <m:t>X</m:t>
            </m:r>
          </m:e>
          <m:sub>
            <m:r>
              <m:t>i</m:t>
            </m:r>
          </m:sub>
          <m:sup>
            <m:r>
              <m:t>w</m:t>
            </m:r>
          </m:sup>
        </m:sSubSup>
        <m:r>
          <m:t>,</m:t>
        </m:r>
        <m:sSubSup>
          <m:e>
            <m:r>
              <m:t>X</m:t>
            </m:r>
          </m:e>
          <m:sub>
            <m:r>
              <m:t>i</m:t>
            </m:r>
          </m:sub>
          <m:sup>
            <m:r>
              <m:t>o</m:t>
            </m:r>
          </m:sup>
        </m:sSubSup>
        <m:r>
          <m:t>,</m:t>
        </m:r>
        <m:sSub>
          <m:e>
            <m:r>
              <m:t>T</m:t>
            </m:r>
          </m:e>
          <m:sub>
            <m:r>
              <m:t>i</m:t>
            </m:r>
          </m:sub>
        </m:sSub>
        <m:r>
          <m:t>,</m:t>
        </m:r>
        <m:sSub>
          <m:e>
            <m:r>
              <m:t>δ</m:t>
            </m:r>
          </m:e>
          <m:sub>
            <m:r>
              <m:t>i</m:t>
            </m:r>
          </m:sub>
        </m:sSub>
        <m:r>
          <m:t>)</m:t>
        </m:r>
        <m:sSubSup>
          <m:e>
            <m:r>
              <m:t>}</m:t>
            </m:r>
          </m:e>
          <m:sub>
            <m:r>
              <m:t>i=1</m:t>
            </m:r>
          </m:sub>
          <m:sup>
            <m:r>
              <m:t>N</m:t>
            </m:r>
          </m:sup>
        </m:sSubSup>
      </m:oMath>
      <w:r>
        <w:rPr>
          <w:rFonts w:ascii="Microsoft YaHei" w:hAnsi="Microsoft YaHei" w:eastAsia="Microsoft YaHei" w:cs="Microsoft YaHei"/>
          <w:b w:val="0"/>
          <w:i w:val="0"/>
          <w:sz w:val="22"/>
        </w:rPr>
        <w:t>。其中，</w:t>
      </w:r>
      <m:oMath>
        <m:sSubSup>
          <m:e>
            <m:r>
              <m:t>X</m:t>
            </m:r>
          </m:e>
          <m:sub>
            <m:r>
              <m:t>i</m:t>
            </m:r>
          </m:sub>
          <m:sup>
            <m:r>
              <m:t>w</m:t>
            </m:r>
          </m:sup>
        </m:sSubSup>
        <m:r>
          <m:t>∈</m:t>
        </m:r>
        <m:sSup>
          <m:e>
            <m:r>
              <m:rPr>
                <m:scr m:val="double-struck"/>
                <m:sty m:val="p"/>
              </m:rPr>
              <m:t>R</m:t>
            </m:r>
          </m:e>
          <m:sup>
            <m:sSub>
              <m:e>
                <m:r>
                  <m:t>N</m:t>
                </m:r>
              </m:e>
              <m:sub>
                <m:r>
                  <m:t>w</m:t>
                </m:r>
              </m:sub>
            </m:sSub>
            <m:r>
              <m:t>×</m:t>
            </m:r>
            <m:sSub>
              <m:e>
                <m:r>
                  <m:t>D</m:t>
                </m:r>
              </m:e>
              <m:sub>
                <m:r>
                  <m:t>w</m:t>
                </m:r>
              </m:sub>
            </m:sSub>
          </m:sup>
        </m:sSup>
      </m:oMath>
      <w:r>
        <w:rPr>
          <w:rFonts w:ascii="Microsoft YaHei" w:hAnsi="Microsoft YaHei" w:eastAsia="Microsoft YaHei" w:cs="Microsoft YaHei"/>
          <w:b w:val="0"/>
          <w:i w:val="0"/>
          <w:sz w:val="22"/>
        </w:rPr>
        <w:t xml:space="preserve"> 为患者 </w:t>
      </w:r>
      <m:oMath>
        <m:r>
          <m:t>i</m:t>
        </m:r>
      </m:oMath>
      <w:r>
        <w:rPr>
          <w:rFonts w:ascii="Microsoft YaHei" w:hAnsi="Microsoft YaHei" w:eastAsia="Microsoft YaHei" w:cs="Microsoft YaHei"/>
          <w:b w:val="0"/>
          <w:i w:val="0"/>
          <w:sz w:val="22"/>
        </w:rPr>
        <w:t xml:space="preserve"> 的 WSI patch 特征，</w:t>
      </w:r>
      <m:oMath>
        <m:sSubSup>
          <m:e>
            <m:r>
              <m:t>X</m:t>
            </m:r>
          </m:e>
          <m:sub>
            <m:r>
              <m:t>i</m:t>
            </m:r>
          </m:sub>
          <m:sup>
            <m:r>
              <m:t>o</m:t>
            </m:r>
          </m:sup>
        </m:sSubSup>
      </m:oMath>
      <w:r>
        <w:rPr>
          <w:rFonts w:ascii="Microsoft YaHei" w:hAnsi="Microsoft YaHei" w:eastAsia="Microsoft YaHei" w:cs="Microsoft YaHei"/>
          <w:b w:val="0"/>
          <w:i w:val="0"/>
          <w:sz w:val="22"/>
        </w:rPr>
        <w:t xml:space="preserve"> 为通路级组学特征，</w:t>
      </w:r>
      <m:oMath>
        <m:sSub>
          <m:e>
            <m:r>
              <m:t>T</m:t>
            </m:r>
          </m:e>
          <m:sub>
            <m:r>
              <m:t>i</m:t>
            </m:r>
          </m:sub>
        </m:sSub>
      </m:oMath>
      <w:r>
        <w:rPr>
          <w:rFonts w:ascii="Microsoft YaHei" w:hAnsi="Microsoft YaHei" w:eastAsia="Microsoft YaHei" w:cs="Microsoft YaHei"/>
          <w:b w:val="0"/>
          <w:i w:val="0"/>
          <w:sz w:val="22"/>
        </w:rPr>
        <w:t xml:space="preserve"> 为观测时间，</w:t>
      </w:r>
      <m:oMath>
        <m:sSub>
          <m:e>
            <m:r>
              <m:t>δ</m:t>
            </m:r>
          </m:e>
          <m:sub>
            <m:r>
              <m:t>i</m:t>
            </m:r>
          </m:sub>
        </m:sSub>
        <m:r>
          <m:t>=1</m:t>
        </m:r>
      </m:oMath>
      <w:r>
        <w:rPr>
          <w:rFonts w:ascii="Microsoft YaHei" w:hAnsi="Microsoft YaHei" w:eastAsia="Microsoft YaHei" w:cs="Microsoft YaHei"/>
          <w:b w:val="0"/>
          <w:i w:val="0"/>
          <w:sz w:val="22"/>
        </w:rPr>
        <w:t xml:space="preserve"> 表示观察到终点事件，</w:t>
      </w:r>
      <m:oMath>
        <m:sSub>
          <m:e>
            <m:r>
              <m:t>δ</m:t>
            </m:r>
          </m:e>
          <m:sub>
            <m:r>
              <m:t>i</m:t>
            </m:r>
          </m:sub>
        </m:sSub>
        <m:r>
          <m:t>=0</m:t>
        </m:r>
      </m:oMath>
      <w:r>
        <w:rPr>
          <w:rFonts w:ascii="Microsoft YaHei" w:hAnsi="Microsoft YaHei" w:eastAsia="Microsoft YaHei" w:cs="Microsoft YaHei"/>
          <w:b w:val="0"/>
          <w:i w:val="0"/>
          <w:sz w:val="22"/>
        </w:rPr>
        <w:t xml:space="preserve"> 表示删失。所有时间分箱、删失分布和风险锚点均只在当前训练折估计。</w:t>
      </w:r>
    </w:p>
    <w:p>
      <w:pPr>
        <w:ind w:firstLine="446"/>
      </w:pPr>
      <w:r>
        <w:rPr>
          <w:rFonts w:ascii="Microsoft YaHei" w:hAnsi="Microsoft YaHei" w:eastAsia="Microsoft YaHei" w:cs="Microsoft YaHei"/>
          <w:b w:val="0"/>
          <w:i w:val="0"/>
          <w:sz w:val="22"/>
        </w:rPr>
        <w:t>全文使用以下符号：</w:t>
      </w:r>
      <m:oMath>
        <m:r>
          <m:t>B</m:t>
        </m:r>
      </m:oMath>
      <w:r>
        <w:rPr>
          <w:rFonts w:ascii="Microsoft YaHei" w:hAnsi="Microsoft YaHei" w:eastAsia="Microsoft YaHei" w:cs="Microsoft YaHei"/>
          <w:b w:val="0"/>
          <w:i w:val="0"/>
          <w:sz w:val="22"/>
        </w:rPr>
        <w:t xml:space="preserve"> 为批内患者数；</w:t>
      </w:r>
      <m:oMath>
        <m:r>
          <m:t>S=4</m:t>
        </m:r>
      </m:oMath>
      <w:r>
        <w:rPr>
          <w:rFonts w:ascii="Microsoft YaHei" w:hAnsi="Microsoft YaHei" w:eastAsia="Microsoft YaHei" w:cs="Microsoft YaHei"/>
          <w:b w:val="0"/>
          <w:i w:val="0"/>
          <w:sz w:val="22"/>
        </w:rPr>
        <w:t xml:space="preserve"> 为离散时间阶段数；</w:t>
      </w:r>
      <m:oMath>
        <m:r>
          <m:t>G=3</m:t>
        </m:r>
      </m:oMath>
      <w:r>
        <w:rPr>
          <w:rFonts w:ascii="Microsoft YaHei" w:hAnsi="Microsoft YaHei" w:eastAsia="Microsoft YaHei" w:cs="Microsoft YaHei"/>
          <w:b w:val="0"/>
          <w:i w:val="0"/>
          <w:sz w:val="22"/>
        </w:rPr>
        <w:t xml:space="preserve"> 为余弦、欧氏与正点积三种几何；</w:t>
      </w:r>
      <m:oMath>
        <m:sSub>
          <m:e>
            <m:r>
              <m:t>K</m:t>
            </m:r>
          </m:e>
          <m:sub>
            <m:r>
              <m:t>w</m:t>
            </m:r>
          </m:sub>
        </m:sSub>
        <m:r>
          <m:t>=</m:t>
        </m:r>
        <m:sSub>
          <m:e>
            <m:r>
              <m:t>K</m:t>
            </m:r>
          </m:e>
          <m:sub>
            <m:r>
              <m:t>o</m:t>
            </m:r>
          </m:sub>
        </m:sSub>
        <m:r>
          <m:t>=8</m:t>
        </m:r>
      </m:oMath>
      <w:r>
        <w:rPr>
          <w:rFonts w:ascii="Microsoft YaHei" w:hAnsi="Microsoft YaHei" w:eastAsia="Microsoft YaHei" w:cs="Microsoft YaHei"/>
          <w:b w:val="0"/>
          <w:i w:val="0"/>
          <w:sz w:val="22"/>
        </w:rPr>
        <w:t xml:space="preserve"> 为 WSI 与组学侧的共享语义坐标数。对患者 </w:t>
      </w:r>
      <m:oMath>
        <m:r>
          <m:t>b</m:t>
        </m:r>
      </m:oMath>
      <w:r>
        <w:rPr>
          <w:rFonts w:ascii="Microsoft YaHei" w:hAnsi="Microsoft YaHei" w:eastAsia="Microsoft YaHei" w:cs="Microsoft YaHei"/>
          <w:b w:val="0"/>
          <w:i w:val="0"/>
          <w:sz w:val="22"/>
        </w:rPr>
        <w:t xml:space="preserve">、阶段 </w:t>
      </w:r>
      <m:oMath>
        <m:r>
          <m:t>s</m:t>
        </m:r>
      </m:oMath>
      <w:r>
        <w:rPr>
          <w:rFonts w:ascii="Microsoft YaHei" w:hAnsi="Microsoft YaHei" w:eastAsia="Microsoft YaHei" w:cs="Microsoft YaHei"/>
          <w:b w:val="0"/>
          <w:i w:val="0"/>
          <w:sz w:val="22"/>
        </w:rPr>
        <w:t xml:space="preserve"> 和几何 </w:t>
      </w:r>
      <m:oMath>
        <m:r>
          <m:t>q</m:t>
        </m:r>
      </m:oMath>
      <w:r>
        <w:rPr>
          <w:rFonts w:ascii="Microsoft YaHei" w:hAnsi="Microsoft YaHei" w:eastAsia="Microsoft YaHei" w:cs="Microsoft YaHei"/>
          <w:b w:val="0"/>
          <w:i w:val="0"/>
          <w:sz w:val="22"/>
        </w:rPr>
        <w:t>，代价与计划分别记为</w:t>
      </w:r>
    </w:p>
    <w:p>
      <w:pPr>
        <w:pStyle w:val="Formula"/>
        <w:keepLines/>
        <w:ind w:firstLine="0"/>
        <w:jc w:val="center"/>
      </w:pPr>
      <m:oMath>
        <m:sSub>
          <m:e>
            <m:r>
              <m:t>C</m:t>
            </m:r>
          </m:e>
          <m:sub>
            <m:r>
              <m:t>b,s,q</m:t>
            </m:r>
          </m:sub>
        </m:sSub>
        <m:r>
          <m:t>∈</m:t>
        </m:r>
        <m:sSup>
          <m:e>
            <m:r>
              <m:rPr>
                <m:scr m:val="double-struck"/>
                <m:sty m:val="p"/>
              </m:rPr>
              <m:t>R</m:t>
            </m:r>
          </m:e>
          <m:sup>
            <m:sSub>
              <m:e>
                <m:r>
                  <m:t>K</m:t>
                </m:r>
              </m:e>
              <m:sub>
                <m:r>
                  <m:t>w</m:t>
                </m:r>
              </m:sub>
            </m:sSub>
            <m:r>
              <m:t>×</m:t>
            </m:r>
            <m:sSub>
              <m:e>
                <m:r>
                  <m:t>K</m:t>
                </m:r>
              </m:e>
              <m:sub>
                <m:r>
                  <m:t>o</m:t>
                </m:r>
              </m:sub>
            </m:sSub>
          </m:sup>
        </m:sSup>
        <m:r>
          <m:t>,</m:t>
        </m:r>
        <m:sSub>
          <m:e>
            <m:r>
              <m:t>Π</m:t>
            </m:r>
          </m:e>
          <m:sub>
            <m:r>
              <m:t>b,s,q</m:t>
            </m:r>
          </m:sub>
        </m:sSub>
        <m:r>
          <m:t>∈</m:t>
        </m:r>
        <m:sSubSup>
          <m:e>
            <m:r>
              <m:rPr>
                <m:scr m:val="double-struck"/>
                <m:sty m:val="p"/>
              </m:rPr>
              <m:t>R</m:t>
            </m:r>
          </m:e>
          <m:sub>
            <m:r>
              <m:t>+</m:t>
            </m:r>
          </m:sub>
          <m:sup>
            <m:sSub>
              <m:e>
                <m:r>
                  <m:t>K</m:t>
                </m:r>
              </m:e>
              <m:sub>
                <m:r>
                  <m:t>w</m:t>
                </m:r>
              </m:sub>
            </m:sSub>
            <m:r>
              <m:t>×</m:t>
            </m:r>
            <m:sSub>
              <m:e>
                <m:r>
                  <m:t>K</m:t>
                </m:r>
              </m:e>
              <m:sub>
                <m:r>
                  <m:t>o</m:t>
                </m:r>
              </m:sub>
            </m:sSub>
          </m:sup>
        </m:sSubSup>
        <m:r>
          <m:t>.</m:t>
        </m:r>
      </m:oMath>
    </w:p>
    <w:p>
      <w:pPr>
        <w:ind w:firstLine="446"/>
      </w:pPr>
      <w:r>
        <w:rPr>
          <w:rFonts w:ascii="Microsoft YaHei" w:hAnsi="Microsoft YaHei" w:eastAsia="Microsoft YaHei" w:cs="Microsoft YaHei"/>
          <w:b w:val="0"/>
          <w:i w:val="0"/>
          <w:sz w:val="22"/>
        </w:rPr>
        <w:t xml:space="preserve">DCT 通过这些计划产生离散时间 hazard logits，并以同一确定性映射得到标量风险 </w:t>
      </w:r>
      <m:oMath>
        <m:sSub>
          <m:e>
            <m:r>
              <m:t>r</m:t>
            </m:r>
          </m:e>
          <m:sub>
            <m:r>
              <m:t>b</m:t>
            </m:r>
          </m:sub>
        </m:sSub>
      </m:oMath>
      <w:r>
        <w:rPr>
          <w:rFonts w:ascii="Microsoft YaHei" w:hAnsi="Microsoft YaHei" w:eastAsia="Microsoft YaHei" w:cs="Microsoft YaHei"/>
          <w:b w:val="0"/>
          <w:i w:val="0"/>
          <w:sz w:val="22"/>
        </w:rPr>
        <w:t xml:space="preserve">。关键问题不是模型能否形成某个 </w:t>
      </w:r>
      <m:oMath>
        <m:sSup>
          <m:e>
            <m:r>
              <m:t>Π</m:t>
            </m:r>
          </m:e>
          <m:sup>
            <m:r>
              <m:t>0</m:t>
            </m:r>
          </m:sup>
        </m:sSup>
      </m:oMath>
      <w:r>
        <w:rPr>
          <w:rFonts w:ascii="Microsoft YaHei" w:hAnsi="Microsoft YaHei" w:eastAsia="Microsoft YaHei" w:cs="Microsoft YaHei"/>
          <w:b w:val="0"/>
          <w:i w:val="0"/>
          <w:sz w:val="22"/>
        </w:rPr>
        <w:t>，而是该计划所在的计算链是否对预后方向具有可检验响应；学习到计划并不自动证明计划具有预后活性。</w:t>
      </w:r>
    </w:p>
    <w:p>
      <w:pPr>
        <w:ind w:firstLine="446"/>
      </w:pPr>
      <w:r>
        <w:rPr>
          <w:rFonts w:ascii="Microsoft YaHei" w:hAnsi="Microsoft YaHei" w:eastAsia="Microsoft YaHei" w:cs="Microsoft YaHei"/>
          <w:b w:val="0"/>
          <w:i w:val="0"/>
          <w:sz w:val="22"/>
        </w:rPr>
        <w:t>本文将</w:t>
      </w:r>
      <w:r>
        <w:rPr>
          <w:rFonts w:ascii="Microsoft YaHei" w:hAnsi="Microsoft YaHei" w:eastAsia="Microsoft YaHei" w:cs="Microsoft YaHei"/>
          <w:b/>
          <w:i w:val="0"/>
          <w:sz w:val="22"/>
        </w:rPr>
        <w:t>传输预后活性</w:t>
      </w:r>
      <w:r>
        <w:rPr>
          <w:rFonts w:ascii="Microsoft YaHei" w:hAnsi="Microsoft YaHei" w:eastAsia="Microsoft YaHei" w:cs="Microsoft YaHei"/>
          <w:b w:val="0"/>
          <w:i w:val="0"/>
          <w:sz w:val="22"/>
        </w:rPr>
        <w:t>定义为一种模型内部性质：在参数与输入保持不变时，若沿训练折风险集所定义的方向改变代价，并在相同边际下重新求解计划，预测风险应呈现预先指定的方向响应。该定义允许主张被数据否定，但不把模型空间扰动解释为患者反事实。</w:t>
      </w:r>
    </w:p>
    <w:p>
      <w:pPr>
        <w:ind w:firstLine="446"/>
      </w:pPr>
      <w:r>
        <w:rPr>
          <w:rFonts w:ascii="Microsoft YaHei" w:hAnsi="Microsoft YaHei" w:eastAsia="Microsoft YaHei" w:cs="Microsoft YaHei"/>
          <w:b w:val="0"/>
          <w:i w:val="0"/>
          <w:sz w:val="22"/>
        </w:rPr>
        <w:t>图 2 给出 DCT 的完整计算路径。Panel A 将病理与通路组学映射到跨患者索引稳定的模态内语义坐标；Panel B 在四个生存阶段和三种几何下分别构造代价、证据边际与运输计划；Panel C 将十二个阶段—几何计划编码为运输事件 token，并通过共享 Transformer、hazard 头和事件门读取风险；Panel D 则在保持输入、边际和风险读取器不变时，以训练折锚点修改代价并重新求解干预计划。后续各小节依次形式化这些模块。</w:t>
      </w:r>
    </w:p>
    <w:p>
      <w:pPr>
        <w:keepNext/>
        <w:spacing w:before="120" w:after="40"/>
        <w:jc w:val="center"/>
      </w:pPr>
      <w:r>
        <w:rPr>
          <w:rFonts w:ascii="Microsoft YaHei" w:hAnsi="Microsoft YaHei" w:eastAsia="Microsoft YaHei" w:cs="Microsoft YaHei"/>
          <w:sz w:val="20"/>
        </w:rPr>
        <w:drawing>
          <wp:inline xmlns:a="http://schemas.openxmlformats.org/drawingml/2006/main" xmlns:pic="http://schemas.openxmlformats.org/drawingml/2006/picture">
            <wp:extent cx="5806440" cy="4108514"/>
            <wp:docPr id="2" name="Picture 2" descr="Figure 2：DCT 网络架构" title="Figure 2：DCT 网络架构"/>
            <wp:cNvGraphicFramePr>
              <a:graphicFrameLocks noChangeAspect="1"/>
            </wp:cNvGraphicFramePr>
            <a:graphic>
              <a:graphicData uri="http://schemas.openxmlformats.org/drawingml/2006/picture">
                <pic:pic>
                  <pic:nvPicPr>
                    <pic:cNvPr id="0" name="DCT architecture.png"/>
                    <pic:cNvPicPr/>
                  </pic:nvPicPr>
                  <pic:blipFill>
                    <a:blip r:embed="rId12"/>
                    <a:stretch>
                      <a:fillRect/>
                    </a:stretch>
                  </pic:blipFill>
                  <pic:spPr>
                    <a:xfrm>
                      <a:off x="0" y="0"/>
                      <a:ext cx="5806440" cy="4108514"/>
                    </a:xfrm>
                    <a:prstGeom prst="rect"/>
                  </pic:spPr>
                </pic:pic>
              </a:graphicData>
            </a:graphic>
          </wp:inline>
        </w:drawing>
      </w:r>
    </w:p>
    <w:p>
      <w:pPr>
        <w:pStyle w:val="Caption"/>
        <w:spacing w:before="0" w:after="160"/>
        <w:ind w:firstLine="0"/>
        <w:jc w:val="center"/>
      </w:pPr>
      <w:r>
        <w:rPr>
          <w:rFonts w:ascii="Microsoft YaHei" w:hAnsi="Microsoft YaHei" w:eastAsia="Microsoft YaHei" w:cs="Microsoft YaHei"/>
          <w:b w:val="0"/>
          <w:i/>
          <w:color w:val="46515E"/>
          <w:sz w:val="18"/>
        </w:rPr>
        <w:t xml:space="preserve">图 2　DCT 网络架构。病理和组学分别经局部编码与共享语义坐标形成 </w:t>
      </w:r>
      <m:oMath>
        <m:sSub>
          <m:e>
            <m:r>
              <m:t>K</m:t>
            </m:r>
          </m:e>
          <m:sub>
            <m:r>
              <m:t>w</m:t>
            </m:r>
          </m:sub>
        </m:sSub>
        <m:r>
          <m:t>=</m:t>
        </m:r>
        <m:sSub>
          <m:e>
            <m:r>
              <m:t>K</m:t>
            </m:r>
          </m:e>
          <m:sub>
            <m:r>
              <m:t>o</m:t>
            </m:r>
          </m:sub>
        </m:sSub>
        <m:r>
          <m:t>=8</m:t>
        </m:r>
      </m:oMath>
      <w:r>
        <w:rPr>
          <w:rFonts w:ascii="Microsoft YaHei" w:hAnsi="Microsoft YaHei" w:eastAsia="Microsoft YaHei" w:cs="Microsoft YaHei"/>
          <w:b w:val="0"/>
          <w:i/>
          <w:color w:val="46515E"/>
          <w:sz w:val="18"/>
        </w:rPr>
        <w:t xml:space="preserve"> 个患者特异槽；模型在 </w:t>
      </w:r>
      <m:oMath>
        <m:r>
          <m:t>S=4</m:t>
        </m:r>
      </m:oMath>
      <w:r>
        <w:rPr>
          <w:rFonts w:ascii="Microsoft YaHei" w:hAnsi="Microsoft YaHei" w:eastAsia="Microsoft YaHei" w:cs="Microsoft YaHei"/>
          <w:b w:val="0"/>
          <w:i/>
          <w:color w:val="46515E"/>
          <w:sz w:val="18"/>
        </w:rPr>
        <w:t xml:space="preserve"> 个阶段与 </w:t>
      </w:r>
      <m:oMath>
        <m:r>
          <m:t>G=3</m:t>
        </m:r>
      </m:oMath>
      <w:r>
        <w:rPr>
          <w:rFonts w:ascii="Microsoft YaHei" w:hAnsi="Microsoft YaHei" w:eastAsia="Microsoft YaHei" w:cs="Microsoft YaHei"/>
          <w:b w:val="0"/>
          <w:i/>
          <w:color w:val="46515E"/>
          <w:sz w:val="18"/>
        </w:rPr>
        <w:t xml:space="preserve"> 种独立几何上构造代价，并由证据门产生非均匀边际后逐一求解 Sinkhorn，共得到十二个事实计划。运输事件表征、共享 Transformer、hazard 头和事件门共同形成真实预测路径。干预分支仅改变代价及由其重求解的计划，复用相同边际与风险读取器。</w:t>
      </w:r>
    </w:p>
    <w:p>
      <w:pPr>
        <w:pStyle w:val="Heading2"/>
        <w:keepNext/>
        <w:ind w:firstLine="0"/>
      </w:pPr>
      <w:r>
        <w:rPr>
          <w:rFonts w:ascii="Microsoft YaHei" w:hAnsi="Microsoft YaHei" w:eastAsia="Microsoft YaHei" w:cs="Microsoft YaHei"/>
          <w:b/>
          <w:i w:val="0"/>
          <w:color w:val="2E74B5"/>
          <w:sz w:val="26"/>
        </w:rPr>
        <w:t>3.2  网络架构</w:t>
      </w:r>
    </w:p>
    <w:p>
      <w:pPr>
        <w:ind w:firstLine="446"/>
      </w:pPr>
      <w:r>
        <w:rPr>
          <w:rFonts w:ascii="Microsoft YaHei" w:hAnsi="Microsoft YaHei" w:eastAsia="Microsoft YaHei" w:cs="Microsoft YaHei"/>
          <w:b w:val="0"/>
          <w:i w:val="0"/>
          <w:sz w:val="22"/>
        </w:rPr>
        <w:t>如图 2A–C 所示，可审计性必须由预测路径本身保证，而不能依赖事后附加的解释器。DCT 的计算链由双模态编码、索引稳定的共享语义坐标、阶段条件三几何运输和基于运输事件表征的风险读取组成；事实与干预分支复用同一编码器、边际和风险读取器，仅代价及由其重新优化得到的计划发生变化。</w:t>
      </w:r>
    </w:p>
    <w:p>
      <w:pPr>
        <w:ind w:firstLine="446"/>
      </w:pPr>
      <w:r>
        <w:rPr>
          <w:rFonts w:ascii="Microsoft YaHei" w:hAnsi="Microsoft YaHei" w:eastAsia="Microsoft YaHei" w:cs="Microsoft YaHei"/>
          <w:b/>
          <w:i w:val="0"/>
          <w:sz w:val="22"/>
        </w:rPr>
        <w:t>双模态编码。</w:t>
      </w:r>
      <w:r>
        <w:rPr>
          <w:rFonts w:ascii="Microsoft YaHei" w:hAnsi="Microsoft YaHei" w:eastAsia="Microsoft YaHei" w:cs="Microsoft YaHei"/>
          <w:b w:val="0"/>
          <w:i w:val="0"/>
          <w:sz w:val="22"/>
        </w:rPr>
        <w:t xml:space="preserve"> UNI2-h 提供 </w:t>
      </w:r>
      <m:oMath>
        <m:sSub>
          <m:e>
            <m:r>
              <m:t>D</m:t>
            </m:r>
          </m:e>
          <m:sub>
            <m:r>
              <m:t>w</m:t>
            </m:r>
          </m:sub>
        </m:sSub>
        <m:r>
          <m:t>=1536</m:t>
        </m:r>
      </m:oMath>
      <w:r>
        <w:rPr>
          <w:rFonts w:ascii="Microsoft YaHei" w:hAnsi="Microsoft YaHei" w:eastAsia="Microsoft YaHei" w:cs="Microsoft YaHei"/>
          <w:b w:val="0"/>
          <w:i w:val="0"/>
          <w:sz w:val="22"/>
        </w:rPr>
        <w:t xml:space="preserve"> 维 patch 特征，WSI 侧用瓶颈 MLP 映射至 </w:t>
      </w:r>
      <m:oMath>
        <m:r>
          <m:t>D=256</m:t>
        </m:r>
      </m:oMath>
      <w:r>
        <w:rPr>
          <w:rFonts w:ascii="Microsoft YaHei" w:hAnsi="Microsoft YaHei" w:eastAsia="Microsoft YaHei" w:cs="Microsoft YaHei"/>
          <w:b w:val="0"/>
          <w:i w:val="0"/>
          <w:sz w:val="22"/>
        </w:rPr>
        <w:t xml:space="preserve">；组学侧将每条通路输入独立的 SNN_Block，并映射到相同隐空间。两侧首先各自经过局部 slot attention，得到患者内的局部 token 集合 </w:t>
      </w:r>
      <m:oMath>
        <m:sSub>
          <m:e>
            <m:r>
              <m:t>Z</m:t>
            </m:r>
          </m:e>
          <m:sub>
            <m:r>
              <m:t>b</m:t>
            </m:r>
          </m:sub>
        </m:sSub>
        <m:r>
          <m:t>={</m:t>
        </m:r>
        <m:sSub>
          <m:e>
            <m:r>
              <m:t>z</m:t>
            </m:r>
          </m:e>
          <m:sub>
            <m:r>
              <m:t>b,n</m:t>
            </m:r>
          </m:sub>
        </m:sSub>
        <m:sSubSup>
          <m:e>
            <m:r>
              <m:t>}</m:t>
            </m:r>
          </m:e>
          <m:sub>
            <m:r>
              <m:t>n=1</m:t>
            </m:r>
          </m:sub>
          <m:sup>
            <m:r>
              <m:t>M</m:t>
            </m:r>
          </m:sup>
        </m:sSubSup>
      </m:oMath>
      <w:r>
        <w:rPr>
          <w:rFonts w:ascii="Microsoft YaHei" w:hAnsi="Microsoft YaHei" w:eastAsia="Microsoft YaHei" w:cs="Microsoft YaHei"/>
          <w:b w:val="0"/>
          <w:i w:val="0"/>
          <w:sz w:val="22"/>
        </w:rPr>
        <w:t>。</w:t>
      </w:r>
    </w:p>
    <w:p>
      <w:pPr>
        <w:ind w:firstLine="446"/>
      </w:pPr>
      <w:r>
        <w:rPr>
          <w:rFonts w:ascii="Microsoft YaHei" w:hAnsi="Microsoft YaHei" w:eastAsia="Microsoft YaHei" w:cs="Microsoft YaHei"/>
          <w:b/>
          <w:i w:val="0"/>
          <w:sz w:val="22"/>
        </w:rPr>
        <w:t>共享语义坐标。</w:t>
      </w:r>
      <w:r>
        <w:rPr>
          <w:rFonts w:ascii="Microsoft YaHei" w:hAnsi="Microsoft YaHei" w:eastAsia="Microsoft YaHei" w:cs="Microsoft YaHei"/>
          <w:b w:val="0"/>
          <w:i w:val="0"/>
          <w:sz w:val="22"/>
        </w:rPr>
        <w:t xml:space="preserve"> 对每种模态分别设置跨患者共享的原型字典 </w:t>
      </w:r>
      <m:oMath>
        <m:r>
          <m:t>P={</m:t>
        </m:r>
        <m:sSub>
          <m:e>
            <m:r>
              <m:t>P</m:t>
            </m:r>
          </m:e>
          <m:sub>
            <m:r>
              <m:t>k</m:t>
            </m:r>
          </m:sub>
        </m:sSub>
        <m:sSubSup>
          <m:e>
            <m:r>
              <m:t>}</m:t>
            </m:r>
          </m:e>
          <m:sub>
            <m:r>
              <m:t>k=1</m:t>
            </m:r>
          </m:sub>
          <m:sup>
            <m:r>
              <m:t>K</m:t>
            </m:r>
          </m:sup>
        </m:sSubSup>
      </m:oMath>
      <w:r>
        <w:rPr>
          <w:rFonts w:ascii="Microsoft YaHei" w:hAnsi="Microsoft YaHei" w:eastAsia="Microsoft YaHei" w:cs="Microsoft YaHei"/>
          <w:b w:val="0"/>
          <w:i w:val="0"/>
          <w:sz w:val="22"/>
        </w:rPr>
        <w:t>。每个局部 token 先在原型维竞争，再在 token 维归一化并池化原始 token：</w:t>
      </w:r>
    </w:p>
    <w:p>
      <w:pPr>
        <w:pStyle w:val="Formula"/>
        <w:keepLines/>
        <w:ind w:firstLine="0"/>
        <w:jc w:val="center"/>
      </w:pPr>
      <m:oMath>
        <m:sSub>
          <m:e>
            <m:r>
              <m:t>a</m:t>
            </m:r>
          </m:e>
          <m:sub>
            <m:r>
              <m:t>b,k,n</m:t>
            </m:r>
          </m:sub>
        </m:sSub>
        <m:r>
          <m:t>=</m:t>
        </m:r>
        <m:sSub>
          <m:e>
            <m:r>
              <m:t>softmax</m:t>
            </m:r>
          </m:e>
          <m:sub>
            <m:r>
              <m:t>k</m:t>
            </m:r>
          </m:sub>
        </m:sSub>
        <m:d>
          <m:dPr>
            <m:sepChr m:val=""/>
          </m:dPr>
          <m:e>
            <m:f>
              <m:fPr>
                <m:type m:val="bar"/>
              </m:fPr>
              <m:num>
                <m:r>
                  <m:t>⟨</m:t>
                </m:r>
                <m:sSub>
                  <m:e>
                    <m:bar>
                      <m:barPr>
                        <m:pos m:val="top"/>
                      </m:barPr>
                      <m:e>
                        <m:r>
                          <m:t>z</m:t>
                        </m:r>
                      </m:e>
                    </m:bar>
                  </m:e>
                  <m:sub>
                    <m:r>
                      <m:t>b,n</m:t>
                    </m:r>
                  </m:sub>
                </m:sSub>
                <m:r>
                  <m:t>,</m:t>
                </m:r>
                <m:sSub>
                  <m:e>
                    <m:bar>
                      <m:barPr>
                        <m:pos m:val="top"/>
                      </m:barPr>
                      <m:e>
                        <m:r>
                          <m:t>P</m:t>
                        </m:r>
                      </m:e>
                    </m:bar>
                  </m:e>
                  <m:sub>
                    <m:r>
                      <m:t>k</m:t>
                    </m:r>
                  </m:sub>
                </m:sSub>
                <m:r>
                  <m:t>⟩</m:t>
                </m:r>
              </m:num>
              <m:den>
                <m:sSub>
                  <m:e>
                    <m:r>
                      <m:t>τ</m:t>
                    </m:r>
                  </m:e>
                  <m:sub>
                    <m:r>
                      <m:rPr>
                        <m:sty m:val="p"/>
                      </m:rPr>
                      <m:t>coord</m:t>
                    </m:r>
                  </m:sub>
                </m:sSub>
              </m:den>
            </m:f>
          </m:e>
        </m:d>
        <m:r>
          <m:t>,</m:t>
        </m:r>
        <m:sSub>
          <m:e>
            <m:r>
              <m:t>ω</m:t>
            </m:r>
          </m:e>
          <m:sub>
            <m:r>
              <m:t>b,k,n</m:t>
            </m:r>
          </m:sub>
        </m:sSub>
        <m:r>
          <m:t>=</m:t>
        </m:r>
        <m:f>
          <m:fPr>
            <m:type m:val="bar"/>
          </m:fPr>
          <m:num>
            <m:sSub>
              <m:e>
                <m:r>
                  <m:t>a</m:t>
                </m:r>
              </m:e>
              <m:sub>
                <m:r>
                  <m:t>b,k,n</m:t>
                </m:r>
              </m:sub>
            </m:sSub>
          </m:num>
          <m:den>
            <m:nary>
              <m:naryPr>
                <m:chr m:val="∑"/>
                <m:limLoc m:val="subSup"/>
                <m:grow m:val="1"/>
                <m:subHide m:val="off"/>
                <m:supHide m:val="on"/>
              </m:naryPr>
              <m:sub>
                <m:sSup>
                  <m:e>
                    <m:r>
                      <m:t>n</m:t>
                    </m:r>
                  </m:e>
                  <m:sup>
                    <m:r>
                      <m:t>′</m:t>
                    </m:r>
                  </m:sup>
                </m:sSup>
              </m:sub>
              <m:sup/>
              <m:e>
                <m:sSub>
                  <m:e>
                    <m:r>
                      <m:t>a</m:t>
                    </m:r>
                  </m:e>
                  <m:sub>
                    <m:r>
                      <m:t>b,k,</m:t>
                    </m:r>
                    <m:sSup>
                      <m:e>
                        <m:r>
                          <m:t>n</m:t>
                        </m:r>
                      </m:e>
                      <m:sup>
                        <m:r>
                          <m:t>′</m:t>
                        </m:r>
                      </m:sup>
                    </m:sSup>
                  </m:sub>
                </m:sSub>
              </m:e>
            </m:nary>
            <m:r>
              <m:t>+ϵ</m:t>
            </m:r>
          </m:den>
        </m:f>
        <m:r>
          <m:t>,</m:t>
        </m:r>
      </m:oMath>
    </w:p>
    <w:p>
      <w:pPr>
        <w:pStyle w:val="Formula"/>
        <w:keepLines/>
        <w:ind w:firstLine="0"/>
        <w:jc w:val="center"/>
      </w:pPr>
      <m:oMath>
        <m:sSub>
          <m:e>
            <m:r>
              <m:t>s</m:t>
            </m:r>
          </m:e>
          <m:sub>
            <m:r>
              <m:t>b,k</m:t>
            </m:r>
          </m:sub>
        </m:sSub>
        <m:r>
          <m:t>=</m:t>
        </m:r>
        <m:nary>
          <m:naryPr>
            <m:chr m:val="∑"/>
            <m:limLoc m:val="subSup"/>
            <m:grow m:val="1"/>
            <m:subHide m:val="off"/>
            <m:supHide m:val="off"/>
          </m:naryPr>
          <m:sub>
            <m:r>
              <m:t>n=1</m:t>
            </m:r>
          </m:sub>
          <m:sup>
            <m:r>
              <m:t>M</m:t>
            </m:r>
          </m:sup>
          <m:e>
            <m:sSub>
              <m:e>
                <m:r>
                  <m:t>ω</m:t>
                </m:r>
              </m:e>
              <m:sub>
                <m:r>
                  <m:t>b,k,n</m:t>
                </m:r>
              </m:sub>
            </m:sSub>
          </m:e>
        </m:nary>
        <m:sSub>
          <m:e>
            <m:r>
              <m:t>z</m:t>
            </m:r>
          </m:e>
          <m:sub>
            <m:r>
              <m:t>b,n</m:t>
            </m:r>
          </m:sub>
        </m:sSub>
        <m:r>
          <m:t>,</m:t>
        </m:r>
        <m:sSub>
          <m:e>
            <m:r>
              <m:t>τ</m:t>
            </m:r>
          </m:e>
          <m:sub>
            <m:r>
              <m:rPr>
                <m:sty m:val="p"/>
              </m:rPr>
              <m:t>coord</m:t>
            </m:r>
          </m:sub>
        </m:sSub>
        <m:r>
          <m:t>=0.30.</m:t>
        </m:r>
      </m:oMath>
    </w:p>
    <w:p>
      <w:pPr>
        <w:ind w:firstLine="446"/>
      </w:pPr>
      <w:r>
        <w:rPr>
          <w:rFonts w:ascii="Microsoft YaHei" w:hAnsi="Microsoft YaHei" w:eastAsia="Microsoft YaHei" w:cs="Microsoft YaHei"/>
          <w:b w:val="0"/>
          <w:i w:val="0"/>
          <w:sz w:val="22"/>
        </w:rPr>
        <w:t xml:space="preserve">这里的原型用于建立稳定的坐标索引；输出槽 </w:t>
      </w:r>
      <m:oMath>
        <m:sSub>
          <m:e>
            <m:r>
              <m:t>s</m:t>
            </m:r>
          </m:e>
          <m:sub>
            <m:r>
              <m:t>b,k</m:t>
            </m:r>
          </m:sub>
        </m:sSub>
      </m:oMath>
      <w:r>
        <w:rPr>
          <w:rFonts w:ascii="Microsoft YaHei" w:hAnsi="Microsoft YaHei" w:eastAsia="Microsoft YaHei" w:cs="Microsoft YaHei"/>
          <w:b w:val="0"/>
          <w:i w:val="0"/>
          <w:sz w:val="22"/>
        </w:rPr>
        <w:t xml:space="preserve"> 是对患者局部 token 的加权汇聚，而不是原型向量的线性重构。相同过程分别产生 </w:t>
      </w:r>
      <m:oMath>
        <m:sSubSup>
          <m:e>
            <m:r>
              <m:t>S</m:t>
            </m:r>
          </m:e>
          <m:sub>
            <m:r>
              <m:t>b</m:t>
            </m:r>
          </m:sub>
          <m:sup>
            <m:r>
              <m:t>w</m:t>
            </m:r>
          </m:sup>
        </m:sSubSup>
        <m:r>
          <m:t>∈</m:t>
        </m:r>
        <m:sSup>
          <m:e>
            <m:r>
              <m:rPr>
                <m:scr m:val="double-struck"/>
                <m:sty m:val="p"/>
              </m:rPr>
              <m:t>R</m:t>
            </m:r>
          </m:e>
          <m:sup>
            <m:sSub>
              <m:e>
                <m:r>
                  <m:t>K</m:t>
                </m:r>
              </m:e>
              <m:sub>
                <m:r>
                  <m:t>w</m:t>
                </m:r>
              </m:sub>
            </m:sSub>
            <m:r>
              <m:t>×D</m:t>
            </m:r>
          </m:sup>
        </m:sSup>
      </m:oMath>
      <w:r>
        <w:rPr>
          <w:rFonts w:ascii="Microsoft YaHei" w:hAnsi="Microsoft YaHei" w:eastAsia="Microsoft YaHei" w:cs="Microsoft YaHei"/>
          <w:b w:val="0"/>
          <w:i w:val="0"/>
          <w:sz w:val="22"/>
        </w:rPr>
        <w:t xml:space="preserve"> 与 </w:t>
      </w:r>
      <m:oMath>
        <m:sSubSup>
          <m:e>
            <m:r>
              <m:t>S</m:t>
            </m:r>
          </m:e>
          <m:sub>
            <m:r>
              <m:t>b</m:t>
            </m:r>
          </m:sub>
          <m:sup>
            <m:r>
              <m:t>o</m:t>
            </m:r>
          </m:sup>
        </m:sSubSup>
        <m:r>
          <m:t>∈</m:t>
        </m:r>
        <m:sSup>
          <m:e>
            <m:r>
              <m:rPr>
                <m:scr m:val="double-struck"/>
                <m:sty m:val="p"/>
              </m:rPr>
              <m:t>R</m:t>
            </m:r>
          </m:e>
          <m:sup>
            <m:sSub>
              <m:e>
                <m:r>
                  <m:t>K</m:t>
                </m:r>
              </m:e>
              <m:sub>
                <m:r>
                  <m:t>o</m:t>
                </m:r>
              </m:sub>
            </m:sSub>
            <m:r>
              <m:t>×D</m:t>
            </m:r>
          </m:sup>
        </m:sSup>
      </m:oMath>
      <w:r>
        <w:rPr>
          <w:rFonts w:ascii="Microsoft YaHei" w:hAnsi="Microsoft YaHei" w:eastAsia="Microsoft YaHei" w:cs="Microsoft YaHei"/>
          <w:b w:val="0"/>
          <w:i w:val="0"/>
          <w:sz w:val="22"/>
        </w:rPr>
        <w:t>，供后续三几何代价使用。</w:t>
      </w:r>
    </w:p>
    <w:p>
      <w:pPr>
        <w:pStyle w:val="Heading2"/>
        <w:keepNext/>
        <w:ind w:firstLine="0"/>
      </w:pPr>
      <w:r>
        <w:rPr>
          <w:rFonts w:ascii="Microsoft YaHei" w:hAnsi="Microsoft YaHei" w:eastAsia="Microsoft YaHei" w:cs="Microsoft YaHei"/>
          <w:b/>
          <w:i w:val="0"/>
          <w:color w:val="2E74B5"/>
          <w:sz w:val="26"/>
        </w:rPr>
        <w:t>3.3  阶段条件三几何代价</w:t>
      </w:r>
    </w:p>
    <w:p>
      <w:pPr>
        <w:ind w:firstLine="446"/>
      </w:pPr>
      <w:r>
        <w:rPr>
          <w:rFonts w:ascii="Microsoft YaHei" w:hAnsi="Microsoft YaHei" w:eastAsia="Microsoft YaHei" w:cs="Microsoft YaHei"/>
          <w:b w:val="0"/>
          <w:i w:val="0"/>
          <w:sz w:val="22"/>
        </w:rPr>
        <w:t xml:space="preserve">获得患者间索引稳定的共享坐标后，下一步是在该坐标上定义阶段条件运输代价。对 WSI 槽 </w:t>
      </w:r>
      <m:oMath>
        <m:sSubSup>
          <m:e>
            <m:r>
              <m:t>s</m:t>
            </m:r>
          </m:e>
          <m:sub>
            <m:r>
              <m:t>b,k</m:t>
            </m:r>
          </m:sub>
          <m:sup>
            <m:r>
              <m:t>w</m:t>
            </m:r>
          </m:sup>
        </m:sSubSup>
      </m:oMath>
      <w:r>
        <w:rPr>
          <w:rFonts w:ascii="Microsoft YaHei" w:hAnsi="Microsoft YaHei" w:eastAsia="Microsoft YaHei" w:cs="Microsoft YaHei"/>
          <w:b w:val="0"/>
          <w:i w:val="0"/>
          <w:sz w:val="22"/>
        </w:rPr>
        <w:t xml:space="preserve"> 与组学槽 </w:t>
      </w:r>
      <m:oMath>
        <m:sSubSup>
          <m:e>
            <m:r>
              <m:t>s</m:t>
            </m:r>
          </m:e>
          <m:sub>
            <m:r>
              <m:t>b,l</m:t>
            </m:r>
          </m:sub>
          <m:sup>
            <m:r>
              <m:t>o</m:t>
            </m:r>
          </m:sup>
        </m:sSubSup>
      </m:oMath>
      <w:r>
        <w:rPr>
          <w:rFonts w:ascii="Microsoft YaHei" w:hAnsi="Microsoft YaHei" w:eastAsia="Microsoft YaHei" w:cs="Microsoft YaHei"/>
          <w:b w:val="0"/>
          <w:i w:val="0"/>
          <w:sz w:val="22"/>
        </w:rPr>
        <w:t xml:space="preserve">，DCT 分别计算归一化余弦、欧氏和正点积代价，记为 </w:t>
      </w:r>
      <m:oMath>
        <m:sSub>
          <m:e>
            <m:limUpp>
              <m:e>
                <m:r>
                  <m:t>d</m:t>
                </m:r>
              </m:e>
              <m:lim>
                <m:r>
                  <m:t>~</m:t>
                </m:r>
              </m:lim>
            </m:limUpp>
          </m:e>
          <m:sub>
            <m:r>
              <m:t>q</m:t>
            </m:r>
          </m:sub>
        </m:sSub>
        <m:r>
          <m:t>(</m:t>
        </m:r>
        <m:sSubSup>
          <m:e>
            <m:r>
              <m:t>s</m:t>
            </m:r>
          </m:e>
          <m:sub>
            <m:r>
              <m:t>b,k</m:t>
            </m:r>
          </m:sub>
          <m:sup>
            <m:r>
              <m:t>w</m:t>
            </m:r>
          </m:sup>
        </m:sSubSup>
        <m:r>
          <m:t>,</m:t>
        </m:r>
        <m:sSubSup>
          <m:e>
            <m:r>
              <m:t>s</m:t>
            </m:r>
          </m:e>
          <m:sub>
            <m:r>
              <m:t>b,l</m:t>
            </m:r>
          </m:sub>
          <m:sup>
            <m:r>
              <m:t>o</m:t>
            </m:r>
          </m:sup>
        </m:sSubSup>
        <m:r>
          <m:t>)</m:t>
        </m:r>
      </m:oMath>
      <w:r>
        <w:rPr>
          <w:rFonts w:ascii="Microsoft YaHei" w:hAnsi="Microsoft YaHei" w:eastAsia="Microsoft YaHei" w:cs="Microsoft YaHei"/>
          <w:b w:val="0"/>
          <w:i w:val="0"/>
          <w:sz w:val="22"/>
        </w:rPr>
        <w:t>，</w:t>
      </w:r>
      <m:oMath>
        <m:r>
          <m:t>q∈{</m:t>
        </m:r>
        <m:r>
          <m:rPr>
            <m:sty m:val="p"/>
          </m:rPr>
          <m:t>cos</m:t>
        </m:r>
        <m:r>
          <m:t>,</m:t>
        </m:r>
        <m:r>
          <m:rPr>
            <m:sty m:val="p"/>
          </m:rPr>
          <m:t>euc</m:t>
        </m:r>
        <m:r>
          <m:t>,</m:t>
        </m:r>
        <m:r>
          <m:rPr>
            <m:sty m:val="p"/>
          </m:rPr>
          <m:t>pdot</m:t>
        </m:r>
        <m:r>
          <m:t>}</m:t>
        </m:r>
      </m:oMath>
      <w:r>
        <w:rPr>
          <w:rFonts w:ascii="Microsoft YaHei" w:hAnsi="Microsoft YaHei" w:eastAsia="Microsoft YaHei" w:cs="Microsoft YaHei"/>
          <w:b w:val="0"/>
          <w:i w:val="0"/>
          <w:sz w:val="22"/>
        </w:rPr>
        <w:t>。三种几何保留为独立维度，并不取平均。</w:t>
      </w:r>
    </w:p>
    <w:p>
      <w:pPr>
        <w:ind w:firstLine="446"/>
      </w:pPr>
      <w:r>
        <w:rPr>
          <w:rFonts w:ascii="Microsoft YaHei" w:hAnsi="Microsoft YaHei" w:eastAsia="Microsoft YaHei" w:cs="Microsoft YaHei"/>
          <w:b w:val="0"/>
          <w:i w:val="0"/>
          <w:sz w:val="22"/>
        </w:rPr>
        <w:t>为引入预后阶段信息，我们构造配对表示</w:t>
      </w:r>
    </w:p>
    <w:p>
      <w:pPr>
        <w:pStyle w:val="Formula"/>
        <w:keepLines/>
        <w:ind w:firstLine="0"/>
        <w:jc w:val="center"/>
      </w:pPr>
      <m:oMath>
        <m:sSub>
          <m:e>
            <m:r>
              <m:t>u</m:t>
            </m:r>
          </m:e>
          <m:sub>
            <m:r>
              <m:t>b,k,l</m:t>
            </m:r>
          </m:sub>
        </m:sSub>
        <m:r>
          <m:t>=[</m:t>
        </m:r>
        <m:sSubSup>
          <m:e>
            <m:r>
              <m:t>s</m:t>
            </m:r>
          </m:e>
          <m:sub>
            <m:r>
              <m:t>b,k</m:t>
            </m:r>
          </m:sub>
          <m:sup>
            <m:r>
              <m:t>w</m:t>
            </m:r>
          </m:sup>
        </m:sSubSup>
        <m:r>
          <m:t>;</m:t>
        </m:r>
        <m:sSubSup>
          <m:e>
            <m:r>
              <m:t>s</m:t>
            </m:r>
          </m:e>
          <m:sub>
            <m:r>
              <m:t>b,l</m:t>
            </m:r>
          </m:sub>
          <m:sup>
            <m:r>
              <m:t>o</m:t>
            </m:r>
          </m:sup>
        </m:sSubSup>
        <m:r>
          <m:t>;</m:t>
        </m:r>
        <m:sSubSup>
          <m:e>
            <m:r>
              <m:t>s</m:t>
            </m:r>
          </m:e>
          <m:sub>
            <m:r>
              <m:t>b,k</m:t>
            </m:r>
          </m:sub>
          <m:sup>
            <m:r>
              <m:t>w</m:t>
            </m:r>
          </m:sup>
        </m:sSubSup>
        <m:r>
          <m:t>⊙</m:t>
        </m:r>
        <m:sSubSup>
          <m:e>
            <m:r>
              <m:t>s</m:t>
            </m:r>
          </m:e>
          <m:sub>
            <m:r>
              <m:t>b,l</m:t>
            </m:r>
          </m:sub>
          <m:sup>
            <m:r>
              <m:t>o</m:t>
            </m:r>
          </m:sup>
        </m:sSubSup>
        <m:r>
          <m:t>;</m:t>
        </m:r>
        <m:r>
          <m:t>|</m:t>
        </m:r>
        <m:sSubSup>
          <m:e>
            <m:r>
              <m:t>s</m:t>
            </m:r>
          </m:e>
          <m:sub>
            <m:r>
              <m:t>b,k</m:t>
            </m:r>
          </m:sub>
          <m:sup>
            <m:r>
              <m:t>w</m:t>
            </m:r>
          </m:sup>
        </m:sSubSup>
        <m:r>
          <m:t>−</m:t>
        </m:r>
        <m:sSubSup>
          <m:e>
            <m:r>
              <m:t>s</m:t>
            </m:r>
          </m:e>
          <m:sub>
            <m:r>
              <m:t>b,l</m:t>
            </m:r>
          </m:sub>
          <m:sup>
            <m:r>
              <m:t>o</m:t>
            </m:r>
          </m:sup>
        </m:sSubSup>
        <m:r>
          <m:t>|],</m:t>
        </m:r>
      </m:oMath>
    </w:p>
    <w:p>
      <w:pPr>
        <w:ind w:firstLine="446"/>
      </w:pPr>
      <w:r>
        <w:rPr>
          <w:rFonts w:ascii="Microsoft YaHei" w:hAnsi="Microsoft YaHei" w:eastAsia="Microsoft YaHei" w:cs="Microsoft YaHei"/>
          <w:b w:val="0"/>
          <w:i w:val="0"/>
          <w:sz w:val="22"/>
        </w:rPr>
        <w:t xml:space="preserve">并由阶段代价网络输出 </w:t>
      </w:r>
      <m:oMath>
        <m:r>
          <m:t>S</m:t>
        </m:r>
      </m:oMath>
      <w:r>
        <w:rPr>
          <w:rFonts w:ascii="Microsoft YaHei" w:hAnsi="Microsoft YaHei" w:eastAsia="Microsoft YaHei" w:cs="Microsoft YaHei"/>
          <w:b w:val="0"/>
          <w:i w:val="0"/>
          <w:sz w:val="22"/>
        </w:rPr>
        <w:t xml:space="preserve"> 个非负分量 </w:t>
      </w:r>
      <m:oMath>
        <m:sSub>
          <m:e>
            <m:r>
              <m:t>p</m:t>
            </m:r>
          </m:e>
          <m:sub>
            <m:r>
              <m:t>b,s,k,l</m:t>
            </m:r>
          </m:sub>
        </m:sSub>
        <m:r>
          <m:t>=softplus(ϕ(</m:t>
        </m:r>
        <m:sSub>
          <m:e>
            <m:r>
              <m:t>u</m:t>
            </m:r>
          </m:e>
          <m:sub>
            <m:r>
              <m:t>b,k,l</m:t>
            </m:r>
          </m:sub>
        </m:sSub>
        <m:r>
          <m:t>)</m:t>
        </m:r>
        <m:sSub>
          <m:e>
            <m:r>
              <m:t>)</m:t>
            </m:r>
          </m:e>
          <m:sub>
            <m:r>
              <m:t>s</m:t>
            </m:r>
          </m:sub>
        </m:sSub>
      </m:oMath>
      <w:r>
        <w:rPr>
          <w:rFonts w:ascii="Microsoft YaHei" w:hAnsi="Microsoft YaHei" w:eastAsia="Microsoft YaHei" w:cs="Microsoft YaHei"/>
          <w:b w:val="0"/>
          <w:i w:val="0"/>
          <w:sz w:val="22"/>
        </w:rPr>
        <w:t>。对每个阶段分别归一化后，事实代价为</w:t>
      </w:r>
    </w:p>
    <w:p>
      <w:pPr>
        <w:pStyle w:val="Formula"/>
        <w:keepLines/>
        <w:ind w:firstLine="0"/>
        <w:jc w:val="center"/>
      </w:pPr>
      <m:oMath>
        <m:sSub>
          <m:e>
            <m:r>
              <m:t>C</m:t>
            </m:r>
          </m:e>
          <m:sub>
            <m:r>
              <m:t>b,s,q,k,l</m:t>
            </m:r>
          </m:sub>
        </m:sSub>
        <m:r>
          <m:t>=</m:t>
        </m:r>
        <m:sSub>
          <m:e>
            <m:limUpp>
              <m:e>
                <m:r>
                  <m:t>d</m:t>
                </m:r>
              </m:e>
              <m:lim>
                <m:r>
                  <m:t>~</m:t>
                </m:r>
              </m:lim>
            </m:limUpp>
          </m:e>
          <m:sub>
            <m:r>
              <m:t>q</m:t>
            </m:r>
          </m:sub>
        </m:sSub>
        <m:r>
          <m:t>(</m:t>
        </m:r>
        <m:sSubSup>
          <m:e>
            <m:r>
              <m:t>s</m:t>
            </m:r>
          </m:e>
          <m:sub>
            <m:r>
              <m:t>b,k</m:t>
            </m:r>
          </m:sub>
          <m:sup>
            <m:r>
              <m:t>w</m:t>
            </m:r>
          </m:sup>
        </m:sSubSup>
        <m:r>
          <m:t>,</m:t>
        </m:r>
        <m:sSubSup>
          <m:e>
            <m:r>
              <m:t>s</m:t>
            </m:r>
          </m:e>
          <m:sub>
            <m:r>
              <m:t>b,l</m:t>
            </m:r>
          </m:sub>
          <m:sup>
            <m:r>
              <m:t>o</m:t>
            </m:r>
          </m:sup>
        </m:sSubSup>
        <m:r>
          <m:t>)+0.20</m:t>
        </m:r>
        <m:sSub>
          <m:e>
            <m:limUpp>
              <m:e>
                <m:r>
                  <m:t>p</m:t>
                </m:r>
              </m:e>
              <m:lim>
                <m:r>
                  <m:t>~</m:t>
                </m:r>
              </m:lim>
            </m:limUpp>
          </m:e>
          <m:sub>
            <m:r>
              <m:t>b,s,k,l</m:t>
            </m:r>
          </m:sub>
        </m:sSub>
        <m:r>
          <m:t>,</m:t>
        </m:r>
        <m:r>
          <m:t>q=1,…,G.</m:t>
        </m:r>
      </m:oMath>
    </w:p>
    <w:p>
      <w:pPr>
        <w:ind w:firstLine="446"/>
      </w:pPr>
      <w:r>
        <w:rPr>
          <w:rFonts w:ascii="Microsoft YaHei" w:hAnsi="Microsoft YaHei" w:eastAsia="Microsoft YaHei" w:cs="Microsoft YaHei"/>
          <w:b w:val="0"/>
          <w:i w:val="0"/>
          <w:sz w:val="22"/>
        </w:rPr>
        <w:t xml:space="preserve">冻结配方中，证据代价附加项和几何可靠性重加权均为零；证据门仍用于边际质量估计，而不再作为额外能量叠加到 </w:t>
      </w:r>
      <m:oMath>
        <m:r>
          <m:t>C</m:t>
        </m:r>
      </m:oMath>
      <w:r>
        <w:rPr>
          <w:rFonts w:ascii="Microsoft YaHei" w:hAnsi="Microsoft YaHei" w:eastAsia="Microsoft YaHei" w:cs="Microsoft YaHei"/>
          <w:b w:val="0"/>
          <w:i w:val="0"/>
          <w:sz w:val="22"/>
        </w:rPr>
        <w:t xml:space="preserve">。因此，事实代价张量的形状为 </w:t>
      </w:r>
      <m:oMath>
        <m:r>
          <m:t>B×S×G×</m:t>
        </m:r>
        <m:sSub>
          <m:e>
            <m:r>
              <m:t>K</m:t>
            </m:r>
          </m:e>
          <m:sub>
            <m:r>
              <m:t>w</m:t>
            </m:r>
          </m:sub>
        </m:sSub>
        <m:r>
          <m:t>×</m:t>
        </m:r>
        <m:sSub>
          <m:e>
            <m:r>
              <m:t>K</m:t>
            </m:r>
          </m:e>
          <m:sub>
            <m:r>
              <m:t>o</m:t>
            </m:r>
          </m:sub>
        </m:sSub>
      </m:oMath>
      <w:r>
        <w:rPr>
          <w:rFonts w:ascii="Microsoft YaHei" w:hAnsi="Microsoft YaHei" w:eastAsia="Microsoft YaHei" w:cs="Microsoft YaHei"/>
          <w:b w:val="0"/>
          <w:i w:val="0"/>
          <w:sz w:val="22"/>
        </w:rPr>
        <w:t>，每个阶段的三种几何分别求解计划。</w:t>
      </w:r>
    </w:p>
    <w:p>
      <w:pPr>
        <w:pStyle w:val="Heading2"/>
        <w:keepNext/>
        <w:ind w:firstLine="0"/>
      </w:pPr>
      <w:r>
        <w:rPr>
          <w:rFonts w:ascii="Microsoft YaHei" w:hAnsi="Microsoft YaHei" w:eastAsia="Microsoft YaHei" w:cs="Microsoft YaHei"/>
          <w:b/>
          <w:i w:val="0"/>
          <w:color w:val="2E74B5"/>
          <w:sz w:val="26"/>
        </w:rPr>
        <w:t>3.4  边际分布与事实 Sinkhorn</w:t>
      </w:r>
    </w:p>
    <w:p>
      <w:pPr>
        <w:ind w:firstLine="446"/>
      </w:pPr>
      <w:r>
        <w:rPr>
          <w:rFonts w:ascii="Microsoft YaHei" w:hAnsi="Microsoft YaHei" w:eastAsia="Microsoft YaHei" w:cs="Microsoft YaHei"/>
          <w:b w:val="0"/>
          <w:i w:val="0"/>
          <w:sz w:val="22"/>
        </w:rPr>
        <w:t xml:space="preserve">代价张量刻画了边的能量，但完整的运输问题还需要规定两侧可分配的质量。对阶段 </w:t>
      </w:r>
      <m:oMath>
        <m:r>
          <m:t>s</m:t>
        </m:r>
      </m:oMath>
      <w:r>
        <w:rPr>
          <w:rFonts w:ascii="Microsoft YaHei" w:hAnsi="Microsoft YaHei" w:eastAsia="Microsoft YaHei" w:cs="Microsoft YaHei"/>
          <w:b w:val="0"/>
          <w:i w:val="0"/>
          <w:sz w:val="22"/>
        </w:rPr>
        <w:t>，证据门根据配对表示与阶段嵌入计算</w:t>
      </w:r>
    </w:p>
    <w:p>
      <w:pPr>
        <w:pStyle w:val="Formula"/>
        <w:keepLines/>
        <w:ind w:firstLine="0"/>
        <w:jc w:val="center"/>
      </w:pPr>
      <m:oMath>
        <m:sSub>
          <m:e>
            <m:r>
              <m:t>e</m:t>
            </m:r>
          </m:e>
          <m:sub>
            <m:r>
              <m:t>b,s,k,l</m:t>
            </m:r>
          </m:sub>
        </m:sSub>
        <m:r>
          <m:t>=σ</m:t>
        </m:r>
        <m:d>
          <m:dPr>
            <m:sepChr m:val=""/>
          </m:dPr>
          <m:e>
            <m:r>
              <m:t>ψ</m:t>
            </m:r>
            <m:r>
              <m:t>(</m:t>
            </m:r>
            <m:r>
              <m:t>[</m:t>
            </m:r>
            <m:sSub>
              <m:e>
                <m:r>
                  <m:t>u</m:t>
                </m:r>
              </m:e>
              <m:sub>
                <m:r>
                  <m:t>b,k,l</m:t>
                </m:r>
              </m:sub>
            </m:sSub>
            <m:r>
              <m:t>;</m:t>
            </m:r>
            <m:sSub>
              <m:e>
                <m:r>
                  <m:t>e</m:t>
                </m:r>
              </m:e>
              <m:sub>
                <m:r>
                  <m:t>s</m:t>
                </m:r>
              </m:sub>
            </m:sSub>
            <m:r>
              <m:t>]</m:t>
            </m:r>
            <m:r>
              <m:t>)</m:t>
            </m:r>
          </m:e>
        </m:d>
        <m:r>
          <m:t>.</m:t>
        </m:r>
      </m:oMath>
    </w:p>
    <w:p>
      <w:pPr>
        <w:ind w:firstLine="446"/>
      </w:pPr>
      <w:r>
        <w:rPr>
          <w:rFonts w:ascii="Microsoft YaHei" w:hAnsi="Microsoft YaHei" w:eastAsia="Microsoft YaHei" w:cs="Microsoft YaHei"/>
          <w:b w:val="0"/>
          <w:i w:val="0"/>
          <w:sz w:val="22"/>
        </w:rPr>
        <w:t xml:space="preserve">将门值分别沿组学槽和 WSI 槽求平均，并以 </w:t>
      </w:r>
      <m:oMath>
        <m:r>
          <m:t>0.05</m:t>
        </m:r>
      </m:oMath>
      <w:r>
        <w:rPr>
          <w:rFonts w:ascii="Microsoft YaHei" w:hAnsi="Microsoft YaHei" w:eastAsia="Microsoft YaHei" w:cs="Microsoft YaHei"/>
          <w:b w:val="0"/>
          <w:i w:val="0"/>
          <w:sz w:val="22"/>
        </w:rPr>
        <w:t xml:space="preserve"> 为质量下界，再归一化得到边际：</w:t>
      </w:r>
    </w:p>
    <w:p>
      <w:pPr>
        <w:pStyle w:val="Formula"/>
        <w:keepLines/>
        <w:ind w:firstLine="0"/>
        <w:jc w:val="center"/>
      </w:pPr>
      <m:oMath>
        <m:sSub>
          <m:e>
            <m:bar>
              <m:barPr>
                <m:pos m:val="top"/>
              </m:barPr>
              <m:e>
                <m:r>
                  <m:t>μ</m:t>
                </m:r>
              </m:e>
            </m:bar>
          </m:e>
          <m:sub>
            <m:r>
              <m:t>b,s,k</m:t>
            </m:r>
          </m:sub>
        </m:sSub>
        <m:r>
          <m:t>=max</m:t>
        </m:r>
        <m:d>
          <m:dPr>
            <m:sepChr m:val=","/>
          </m:dPr>
          <m:e>
            <m:f>
              <m:fPr>
                <m:type m:val="bar"/>
              </m:fPr>
              <m:num>
                <m:r>
                  <m:t>1</m:t>
                </m:r>
              </m:num>
              <m:den>
                <m:sSub>
                  <m:e>
                    <m:r>
                      <m:t>K</m:t>
                    </m:r>
                  </m:e>
                  <m:sub>
                    <m:r>
                      <m:t>o</m:t>
                    </m:r>
                  </m:sub>
                </m:sSub>
              </m:den>
            </m:f>
            <m:nary>
              <m:naryPr>
                <m:chr m:val="∑"/>
                <m:limLoc m:val="subSup"/>
                <m:grow m:val="1"/>
                <m:subHide m:val="off"/>
                <m:supHide m:val="on"/>
              </m:naryPr>
              <m:sub>
                <m:r>
                  <m:t>l</m:t>
                </m:r>
              </m:sub>
              <m:sup/>
              <m:e>
                <m:sSub>
                  <m:e>
                    <m:r>
                      <m:t>e</m:t>
                    </m:r>
                  </m:e>
                  <m:sub>
                    <m:r>
                      <m:t>b,s,k,l</m:t>
                    </m:r>
                  </m:sub>
                </m:sSub>
              </m:e>
            </m:nary>
          </m:e>
          <m:e>
            <m:r>
              <m:t>0.05</m:t>
            </m:r>
          </m:e>
        </m:d>
        <m:r>
          <m:t>,</m:t>
        </m:r>
        <m:sSub>
          <m:e>
            <m:bar>
              <m:barPr>
                <m:pos m:val="top"/>
              </m:barPr>
              <m:e>
                <m:r>
                  <m:t>ν</m:t>
                </m:r>
              </m:e>
            </m:bar>
          </m:e>
          <m:sub>
            <m:r>
              <m:t>b,s,l</m:t>
            </m:r>
          </m:sub>
        </m:sSub>
        <m:r>
          <m:t>=max</m:t>
        </m:r>
        <m:d>
          <m:dPr>
            <m:sepChr m:val=","/>
          </m:dPr>
          <m:e>
            <m:f>
              <m:fPr>
                <m:type m:val="bar"/>
              </m:fPr>
              <m:num>
                <m:r>
                  <m:t>1</m:t>
                </m:r>
              </m:num>
              <m:den>
                <m:sSub>
                  <m:e>
                    <m:r>
                      <m:t>K</m:t>
                    </m:r>
                  </m:e>
                  <m:sub>
                    <m:r>
                      <m:t>w</m:t>
                    </m:r>
                  </m:sub>
                </m:sSub>
              </m:den>
            </m:f>
            <m:nary>
              <m:naryPr>
                <m:chr m:val="∑"/>
                <m:limLoc m:val="subSup"/>
                <m:grow m:val="1"/>
                <m:subHide m:val="off"/>
                <m:supHide m:val="on"/>
              </m:naryPr>
              <m:sub>
                <m:r>
                  <m:t>k</m:t>
                </m:r>
              </m:sub>
              <m:sup/>
              <m:e>
                <m:sSub>
                  <m:e>
                    <m:r>
                      <m:t>e</m:t>
                    </m:r>
                  </m:e>
                  <m:sub>
                    <m:r>
                      <m:t>b,s,k,l</m:t>
                    </m:r>
                  </m:sub>
                </m:sSub>
              </m:e>
            </m:nary>
          </m:e>
          <m:e>
            <m:r>
              <m:t>0.05</m:t>
            </m:r>
          </m:e>
        </m:d>
        <m:r>
          <m:t>,</m:t>
        </m:r>
      </m:oMath>
    </w:p>
    <w:p>
      <w:pPr>
        <w:pStyle w:val="Formula"/>
        <w:keepLines/>
        <w:ind w:firstLine="0"/>
        <w:jc w:val="center"/>
      </w:pPr>
      <m:oMath>
        <m:sSub>
          <m:e>
            <m:r>
              <m:t>μ</m:t>
            </m:r>
          </m:e>
          <m:sub>
            <m:r>
              <m:t>b,s,k</m:t>
            </m:r>
          </m:sub>
        </m:sSub>
        <m:r>
          <m:t>=</m:t>
        </m:r>
        <m:f>
          <m:fPr>
            <m:type m:val="bar"/>
          </m:fPr>
          <m:num>
            <m:sSub>
              <m:e>
                <m:bar>
                  <m:barPr>
                    <m:pos m:val="top"/>
                  </m:barPr>
                  <m:e>
                    <m:r>
                      <m:t>μ</m:t>
                    </m:r>
                  </m:e>
                </m:bar>
              </m:e>
              <m:sub>
                <m:r>
                  <m:t>b,s,k</m:t>
                </m:r>
              </m:sub>
            </m:sSub>
          </m:num>
          <m:den>
            <m:nary>
              <m:naryPr>
                <m:chr m:val="∑"/>
                <m:limLoc m:val="subSup"/>
                <m:grow m:val="1"/>
                <m:subHide m:val="off"/>
                <m:supHide m:val="on"/>
              </m:naryPr>
              <m:sub>
                <m:sSup>
                  <m:e>
                    <m:r>
                      <m:t>k</m:t>
                    </m:r>
                  </m:e>
                  <m:sup>
                    <m:r>
                      <m:t>′</m:t>
                    </m:r>
                  </m:sup>
                </m:sSup>
              </m:sub>
              <m:sup/>
              <m:e>
                <m:sSub>
                  <m:e>
                    <m:bar>
                      <m:barPr>
                        <m:pos m:val="top"/>
                      </m:barPr>
                      <m:e>
                        <m:r>
                          <m:t>μ</m:t>
                        </m:r>
                      </m:e>
                    </m:bar>
                  </m:e>
                  <m:sub>
                    <m:r>
                      <m:t>b,s,</m:t>
                    </m:r>
                    <m:sSup>
                      <m:e>
                        <m:r>
                          <m:t>k</m:t>
                        </m:r>
                      </m:e>
                      <m:sup>
                        <m:r>
                          <m:t>′</m:t>
                        </m:r>
                      </m:sup>
                    </m:sSup>
                  </m:sub>
                </m:sSub>
              </m:e>
            </m:nary>
          </m:den>
        </m:f>
        <m:r>
          <m:t>,</m:t>
        </m:r>
        <m:sSub>
          <m:e>
            <m:r>
              <m:t>ν</m:t>
            </m:r>
          </m:e>
          <m:sub>
            <m:r>
              <m:t>b,s,l</m:t>
            </m:r>
          </m:sub>
        </m:sSub>
        <m:r>
          <m:t>=</m:t>
        </m:r>
        <m:f>
          <m:fPr>
            <m:type m:val="bar"/>
          </m:fPr>
          <m:num>
            <m:sSub>
              <m:e>
                <m:bar>
                  <m:barPr>
                    <m:pos m:val="top"/>
                  </m:barPr>
                  <m:e>
                    <m:r>
                      <m:t>ν</m:t>
                    </m:r>
                  </m:e>
                </m:bar>
              </m:e>
              <m:sub>
                <m:r>
                  <m:t>b,s,l</m:t>
                </m:r>
              </m:sub>
            </m:sSub>
          </m:num>
          <m:den>
            <m:nary>
              <m:naryPr>
                <m:chr m:val="∑"/>
                <m:limLoc m:val="subSup"/>
                <m:grow m:val="1"/>
                <m:subHide m:val="off"/>
                <m:supHide m:val="on"/>
              </m:naryPr>
              <m:sub>
                <m:sSup>
                  <m:e>
                    <m:r>
                      <m:t>l</m:t>
                    </m:r>
                  </m:e>
                  <m:sup>
                    <m:r>
                      <m:t>′</m:t>
                    </m:r>
                  </m:sup>
                </m:sSup>
              </m:sub>
              <m:sup/>
              <m:e>
                <m:sSub>
                  <m:e>
                    <m:bar>
                      <m:barPr>
                        <m:pos m:val="top"/>
                      </m:barPr>
                      <m:e>
                        <m:r>
                          <m:t>ν</m:t>
                        </m:r>
                      </m:e>
                    </m:bar>
                  </m:e>
                  <m:sub>
                    <m:r>
                      <m:t>b,s,</m:t>
                    </m:r>
                    <m:sSup>
                      <m:e>
                        <m:r>
                          <m:t>l</m:t>
                        </m:r>
                      </m:e>
                      <m:sup>
                        <m:r>
                          <m:t>′</m:t>
                        </m:r>
                      </m:sup>
                    </m:sSup>
                  </m:sub>
                </m:sSub>
              </m:e>
            </m:nary>
          </m:den>
        </m:f>
        <m:r>
          <m:t>.</m:t>
        </m:r>
      </m:oMath>
    </w:p>
    <w:p>
      <w:pPr>
        <w:ind w:firstLine="446"/>
      </w:pPr>
      <w:r>
        <w:rPr>
          <w:rFonts w:ascii="Microsoft YaHei" w:hAnsi="Microsoft YaHei" w:eastAsia="Microsoft YaHei" w:cs="Microsoft YaHei"/>
          <w:b w:val="0"/>
          <w:i w:val="0"/>
          <w:sz w:val="22"/>
        </w:rPr>
        <w:t xml:space="preserve">冻结配方的边际强度为 </w:t>
      </w:r>
      <m:oMath>
        <m:r>
          <m:t>1.0</m:t>
        </m:r>
      </m:oMath>
      <w:r>
        <w:rPr>
          <w:rFonts w:ascii="Microsoft YaHei" w:hAnsi="Microsoft YaHei" w:eastAsia="Microsoft YaHei" w:cs="Microsoft YaHei"/>
          <w:b w:val="0"/>
          <w:i w:val="0"/>
          <w:sz w:val="22"/>
        </w:rPr>
        <w:t xml:space="preserve">，因此不再与均匀边际混合。对每个 </w:t>
      </w:r>
      <m:oMath>
        <m:d>
          <m:dPr>
            <m:sepChr m:val=","/>
          </m:dPr>
          <m:e>
            <m:r>
              <m:t>b</m:t>
            </m:r>
          </m:e>
          <m:e>
            <m:r>
              <m:t>s</m:t>
            </m:r>
          </m:e>
          <m:e>
            <m:r>
              <m:t>q</m:t>
            </m:r>
          </m:e>
        </m:d>
      </m:oMath>
      <w:r>
        <w:rPr>
          <w:rFonts w:ascii="Microsoft YaHei" w:hAnsi="Microsoft YaHei" w:eastAsia="Microsoft YaHei" w:cs="Microsoft YaHei"/>
          <w:b w:val="0"/>
          <w:i w:val="0"/>
          <w:sz w:val="22"/>
        </w:rPr>
        <w:t>，事实计划独立求解为</w:t>
      </w:r>
    </w:p>
    <w:p>
      <w:pPr>
        <w:pStyle w:val="Formula"/>
        <w:keepLines/>
        <w:ind w:firstLine="0"/>
        <w:jc w:val="center"/>
      </w:pPr>
      <m:oMath>
        <m:sSubSup>
          <m:e>
            <m:r>
              <m:t>Π</m:t>
            </m:r>
          </m:e>
          <m:sub>
            <m:r>
              <m:t>b,s,q</m:t>
            </m:r>
          </m:sub>
          <m:sup>
            <m:r>
              <m:t>0</m:t>
            </m:r>
          </m:sup>
        </m:sSubSup>
        <m:r>
          <m:t>=</m:t>
        </m:r>
        <m:r>
          <m:rPr>
            <m:sty m:val="p"/>
          </m:rPr>
          <m:t>\arg</m:t>
        </m:r>
        <m:sSub>
          <m:e>
            <m:r>
              <m:t>min</m:t>
            </m:r>
          </m:e>
          <m:sub>
            <m:r>
              <m:t>Π≥0</m:t>
            </m:r>
          </m:sub>
        </m:sSub>
        <m:r>
          <m:t>⟨Π,</m:t>
        </m:r>
        <m:sSub>
          <m:e>
            <m:r>
              <m:t>C</m:t>
            </m:r>
          </m:e>
          <m:sub>
            <m:r>
              <m:t>b,s,q</m:t>
            </m:r>
          </m:sub>
        </m:sSub>
        <m:r>
          <m:t>⟩+ε</m:t>
        </m:r>
        <m:r>
          <m:rPr>
            <m:sty m:val="p"/>
          </m:rPr>
          <m:t>KL</m:t>
        </m:r>
        <m:d>
          <m:dPr>
            <m:sepChr m:val=""/>
          </m:dPr>
          <m:e>
            <m:r>
              <m:t>Π</m:t>
            </m:r>
            <m:r>
              <m:t>‖</m:t>
            </m:r>
            <m:sSub>
              <m:e>
                <m:r>
                  <m:t>μ</m:t>
                </m:r>
              </m:e>
              <m:sub>
                <m:r>
                  <m:t>b,s</m:t>
                </m:r>
              </m:sub>
            </m:sSub>
            <m:r>
              <m:t>⊗</m:t>
            </m:r>
            <m:sSub>
              <m:e>
                <m:r>
                  <m:t>ν</m:t>
                </m:r>
              </m:e>
              <m:sub>
                <m:r>
                  <m:t>b,s</m:t>
                </m:r>
              </m:sub>
            </m:sSub>
          </m:e>
        </m:d>
        <m:r>
          <m:t>,</m:t>
        </m:r>
      </m:oMath>
    </w:p>
    <w:p>
      <w:pPr>
        <w:ind w:firstLine="446"/>
      </w:pPr>
      <w:r>
        <w:rPr>
          <w:rFonts w:ascii="Microsoft YaHei" w:hAnsi="Microsoft YaHei" w:eastAsia="Microsoft YaHei" w:cs="Microsoft YaHei"/>
          <w:b w:val="0"/>
          <w:i w:val="0"/>
          <w:sz w:val="22"/>
        </w:rPr>
        <w:t xml:space="preserve">满足 </w:t>
      </w:r>
      <m:oMath>
        <m:r>
          <m:t>Π</m:t>
        </m:r>
        <m:r>
          <m:rPr>
            <m:sty m:val="b"/>
          </m:rPr>
          <m:t>1</m:t>
        </m:r>
        <m:r>
          <m:t>=</m:t>
        </m:r>
        <m:sSub>
          <m:e>
            <m:r>
              <m:t>μ</m:t>
            </m:r>
          </m:e>
          <m:sub>
            <m:r>
              <m:t>b,s</m:t>
            </m:r>
          </m:sub>
        </m:sSub>
      </m:oMath>
      <w:r>
        <w:rPr>
          <w:rFonts w:ascii="Microsoft YaHei" w:hAnsi="Microsoft YaHei" w:eastAsia="Microsoft YaHei" w:cs="Microsoft YaHei"/>
          <w:b w:val="0"/>
          <w:i w:val="0"/>
          <w:sz w:val="22"/>
        </w:rPr>
        <w:t xml:space="preserve"> 与 </w:t>
      </w:r>
      <m:oMath>
        <m:sSup>
          <m:e>
            <m:r>
              <m:t>Π</m:t>
            </m:r>
          </m:e>
          <m:sup>
            <m:r>
              <m:t>⊤</m:t>
            </m:r>
          </m:sup>
        </m:sSup>
        <m:r>
          <m:rPr>
            <m:sty m:val="b"/>
          </m:rPr>
          <m:t>1</m:t>
        </m:r>
        <m:r>
          <m:t>=</m:t>
        </m:r>
        <m:sSub>
          <m:e>
            <m:r>
              <m:t>ν</m:t>
            </m:r>
          </m:e>
          <m:sub>
            <m:r>
              <m:t>b,s</m:t>
            </m:r>
          </m:sub>
        </m:sSub>
      </m:oMath>
      <w:r>
        <w:rPr>
          <w:rFonts w:ascii="Microsoft YaHei" w:hAnsi="Microsoft YaHei" w:eastAsia="Microsoft YaHei" w:cs="Microsoft YaHei"/>
          <w:b w:val="0"/>
          <w:i w:val="0"/>
          <w:sz w:val="22"/>
        </w:rPr>
        <w:t xml:space="preserve">。训练时 </w:t>
      </w:r>
      <m:oMath>
        <m:r>
          <m:t>ε</m:t>
        </m:r>
      </m:oMath>
      <w:r>
        <w:rPr>
          <w:rFonts w:ascii="Microsoft YaHei" w:hAnsi="Microsoft YaHei" w:eastAsia="Microsoft YaHei" w:cs="Microsoft YaHei"/>
          <w:b w:val="0"/>
          <w:i w:val="0"/>
          <w:sz w:val="22"/>
        </w:rPr>
        <w:t xml:space="preserve"> 在前 12 个 epoch 内由 </w:t>
      </w:r>
      <m:oMath>
        <m:r>
          <m:t>0.10</m:t>
        </m:r>
      </m:oMath>
      <w:r>
        <w:rPr>
          <w:rFonts w:ascii="Microsoft YaHei" w:hAnsi="Microsoft YaHei" w:eastAsia="Microsoft YaHei" w:cs="Microsoft YaHei"/>
          <w:b w:val="0"/>
          <w:i w:val="0"/>
          <w:sz w:val="22"/>
        </w:rPr>
        <w:t xml:space="preserve"> 线性退火至 </w:t>
      </w:r>
      <m:oMath>
        <m:r>
          <m:t>0.05</m:t>
        </m:r>
      </m:oMath>
      <w:r>
        <w:rPr>
          <w:rFonts w:ascii="Microsoft YaHei" w:hAnsi="Microsoft YaHei" w:eastAsia="Microsoft YaHei" w:cs="Microsoft YaHei"/>
          <w:b w:val="0"/>
          <w:i w:val="0"/>
          <w:sz w:val="22"/>
        </w:rPr>
        <w:t xml:space="preserve">，最终评估固定为 </w:t>
      </w:r>
      <m:oMath>
        <m:r>
          <m:t>0.05</m:t>
        </m:r>
      </m:oMath>
      <w:r>
        <w:rPr>
          <w:rFonts w:ascii="Microsoft YaHei" w:hAnsi="Microsoft YaHei" w:eastAsia="Microsoft YaHei" w:cs="Microsoft YaHei"/>
          <w:b w:val="0"/>
          <w:i w:val="0"/>
          <w:sz w:val="22"/>
        </w:rPr>
        <w:t xml:space="preserve">；log-domain Sinkhorn 运行 50 轮，随后以容差 </w:t>
      </w:r>
      <m:oMath>
        <m:sSup>
          <m:e>
            <m:r>
              <m:t>10</m:t>
            </m:r>
          </m:e>
          <m:sup>
            <m:r>
              <m:t>−4</m:t>
            </m:r>
          </m:sup>
        </m:sSup>
      </m:oMath>
      <w:r>
        <w:rPr>
          <w:rFonts w:ascii="Microsoft YaHei" w:hAnsi="Microsoft YaHei" w:eastAsia="Microsoft YaHei" w:cs="Microsoft YaHei"/>
          <w:b w:val="0"/>
          <w:i w:val="0"/>
          <w:sz w:val="22"/>
        </w:rPr>
        <w:t xml:space="preserve"> 做至多 1000 轮边际投影。由于审计入口按 epoch 复用同一退火函数，正式归档命令必须显式记录终止 epoch，不能沿用会对应 </w:t>
      </w:r>
      <m:oMath>
        <m:r>
          <m:t>ε=0.10</m:t>
        </m:r>
      </m:oMath>
      <w:r>
        <w:rPr>
          <w:rFonts w:ascii="Microsoft YaHei" w:hAnsi="Microsoft YaHei" w:eastAsia="Microsoft YaHei" w:cs="Microsoft YaHei"/>
          <w:b w:val="0"/>
          <w:i w:val="0"/>
          <w:sz w:val="22"/>
        </w:rPr>
        <w:t xml:space="preserve"> 的 epoch 0 默认值。DCT 的方法贡献不在修改求解器，而在于随后如何构造、重求解并审计干预分支。</w:t>
      </w:r>
    </w:p>
    <w:p>
      <w:pPr>
        <w:pStyle w:val="Heading2"/>
        <w:keepNext/>
        <w:ind w:firstLine="0"/>
      </w:pPr>
      <w:r>
        <w:rPr>
          <w:rFonts w:ascii="Microsoft YaHei" w:hAnsi="Microsoft YaHei" w:eastAsia="Microsoft YaHei" w:cs="Microsoft YaHei"/>
          <w:b/>
          <w:i w:val="0"/>
          <w:color w:val="2E74B5"/>
          <w:sz w:val="26"/>
        </w:rPr>
        <w:t>3.5  删失感知的风险集参考点</w:t>
      </w:r>
    </w:p>
    <w:p>
      <w:pPr>
        <w:ind w:firstLine="446"/>
      </w:pPr>
      <w:r>
        <w:rPr>
          <w:rFonts w:ascii="Microsoft YaHei" w:hAnsi="Microsoft YaHei" w:eastAsia="Microsoft YaHei" w:cs="Microsoft YaHei"/>
          <w:b w:val="0"/>
          <w:i w:val="0"/>
          <w:sz w:val="22"/>
        </w:rPr>
        <w:t xml:space="preserve">事实计划只能说明模型形成了耦合，尚不能为其预后响应提供方向参照。DCT 不预先指定“理想计划”，而是在每个训练折内从事实代价估计低、高风险锚点。训练折观测事件时间的分位数给出阶段边界 </w:t>
      </w:r>
      <m:oMath>
        <m:r>
          <m:t>−∞=</m:t>
        </m:r>
        <m:sSub>
          <m:e>
            <m:r>
              <m:t>t</m:t>
            </m:r>
          </m:e>
          <m:sub>
            <m:r>
              <m:t>0</m:t>
            </m:r>
          </m:sub>
        </m:sSub>
        <m:r>
          <m:t>&lt;</m:t>
        </m:r>
        <m:sSub>
          <m:e>
            <m:r>
              <m:t>t</m:t>
            </m:r>
          </m:e>
          <m:sub>
            <m:r>
              <m:t>1</m:t>
            </m:r>
          </m:sub>
        </m:sSub>
        <m:r>
          <m:t>&lt;⋯&lt;</m:t>
        </m:r>
        <m:sSub>
          <m:e>
            <m:r>
              <m:t>t</m:t>
            </m:r>
          </m:e>
          <m:sub>
            <m:r>
              <m:t>S</m:t>
            </m:r>
          </m:sub>
        </m:sSub>
      </m:oMath>
      <w:r>
        <w:rPr>
          <w:rFonts w:ascii="Microsoft YaHei" w:hAnsi="Microsoft YaHei" w:eastAsia="Microsoft YaHei" w:cs="Microsoft YaHei"/>
          <w:b w:val="0"/>
          <w:i w:val="0"/>
          <w:sz w:val="22"/>
        </w:rPr>
        <w:t xml:space="preserve">，删失生存函数由同一训练折的 Kaplan–Meier 估计 </w:t>
      </w:r>
      <m:oMath>
        <m:limUpp>
          <m:e>
            <m:r>
              <m:t>G</m:t>
            </m:r>
          </m:e>
          <m:lim>
            <m:r>
              <m:t>^</m:t>
            </m:r>
          </m:lim>
        </m:limUpp>
      </m:oMath>
      <w:r>
        <w:rPr>
          <w:rFonts w:ascii="Microsoft YaHei" w:hAnsi="Microsoft YaHei" w:eastAsia="Microsoft YaHei" w:cs="Microsoft YaHei"/>
          <w:b w:val="0"/>
          <w:i w:val="0"/>
          <w:sz w:val="22"/>
        </w:rPr>
        <w:t xml:space="preserve"> 获得。</w:t>
      </w:r>
    </w:p>
    <w:p>
      <w:pPr>
        <w:ind w:firstLine="446"/>
      </w:pPr>
      <w:r>
        <w:rPr>
          <w:rFonts w:ascii="Microsoft YaHei" w:hAnsi="Microsoft YaHei" w:eastAsia="Microsoft YaHei" w:cs="Microsoft YaHei"/>
          <w:b w:val="0"/>
          <w:i w:val="0"/>
          <w:sz w:val="22"/>
        </w:rPr>
        <w:t xml:space="preserve">阶段 </w:t>
      </w:r>
      <m:oMath>
        <m:r>
          <m:t>s</m:t>
        </m:r>
      </m:oMath>
      <w:r>
        <w:rPr>
          <w:rFonts w:ascii="Microsoft YaHei" w:hAnsi="Microsoft YaHei" w:eastAsia="Microsoft YaHei" w:cs="Microsoft YaHei"/>
          <w:b w:val="0"/>
          <w:i w:val="0"/>
          <w:sz w:val="22"/>
        </w:rPr>
        <w:t xml:space="preserve"> 的高风险集合由该阶段内发生事件的患者构成，低风险集合由已生存越过阶段上界的患者构成：</w:t>
      </w:r>
    </w:p>
    <w:p>
      <w:pPr>
        <w:pStyle w:val="Formula"/>
        <w:keepLines/>
        <w:ind w:firstLine="0"/>
        <w:jc w:val="center"/>
      </w:pPr>
      <m:oMath>
        <m:sSub>
          <m:e>
            <m:r>
              <m:rPr>
                <m:scr m:val="script"/>
              </m:rPr>
              <m:t>E</m:t>
            </m:r>
          </m:e>
          <m:sub>
            <m:r>
              <m:t>s</m:t>
            </m:r>
          </m:sub>
        </m:sSub>
        <m:r>
          <m:t>={i:</m:t>
        </m:r>
        <m:sSub>
          <m:e>
            <m:r>
              <m:t>δ</m:t>
            </m:r>
          </m:e>
          <m:sub>
            <m:r>
              <m:t>i</m:t>
            </m:r>
          </m:sub>
        </m:sSub>
        <m:r>
          <m:t>=1,</m:t>
        </m:r>
        <m:r>
          <m:rPr>
            <m:sty m:val="p"/>
          </m:rPr>
          <m:t> </m:t>
        </m:r>
        <m:sSub>
          <m:e>
            <m:r>
              <m:t>t</m:t>
            </m:r>
          </m:e>
          <m:sub>
            <m:r>
              <m:t>s−1</m:t>
            </m:r>
          </m:sub>
        </m:sSub>
        <m:r>
          <m:t>&lt;</m:t>
        </m:r>
        <m:sSub>
          <m:e>
            <m:r>
              <m:t>T</m:t>
            </m:r>
          </m:e>
          <m:sub>
            <m:r>
              <m:t>i</m:t>
            </m:r>
          </m:sub>
        </m:sSub>
        <m:r>
          <m:t>≤</m:t>
        </m:r>
        <m:sSub>
          <m:e>
            <m:r>
              <m:t>t</m:t>
            </m:r>
          </m:e>
          <m:sub>
            <m:r>
              <m:t>s</m:t>
            </m:r>
          </m:sub>
        </m:sSub>
        <m:r>
          <m:t>},</m:t>
        </m:r>
        <m:sSub>
          <m:e>
            <m:r>
              <m:rPr>
                <m:scr m:val="script"/>
              </m:rPr>
              <m:t>S</m:t>
            </m:r>
          </m:e>
          <m:sub>
            <m:r>
              <m:t>s</m:t>
            </m:r>
          </m:sub>
        </m:sSub>
        <m:r>
          <m:t>={i:</m:t>
        </m:r>
        <m:sSub>
          <m:e>
            <m:r>
              <m:t>T</m:t>
            </m:r>
          </m:e>
          <m:sub>
            <m:r>
              <m:t>i</m:t>
            </m:r>
          </m:sub>
        </m:sSub>
        <m:r>
          <m:t>&gt;</m:t>
        </m:r>
        <m:sSub>
          <m:e>
            <m:r>
              <m:t>t</m:t>
            </m:r>
          </m:e>
          <m:sub>
            <m:r>
              <m:t>s</m:t>
            </m:r>
          </m:sub>
        </m:sSub>
        <m:r>
          <m:t>}∪{i:</m:t>
        </m:r>
        <m:sSub>
          <m:e>
            <m:r>
              <m:t>δ</m:t>
            </m:r>
          </m:e>
          <m:sub>
            <m:r>
              <m:t>i</m:t>
            </m:r>
          </m:sub>
        </m:sSub>
        <m:r>
          <m:t>=0,</m:t>
        </m:r>
        <m:r>
          <m:rPr>
            <m:sty m:val="p"/>
          </m:rPr>
          <m:t> </m:t>
        </m:r>
        <m:sSub>
          <m:e>
            <m:r>
              <m:t>T</m:t>
            </m:r>
          </m:e>
          <m:sub>
            <m:r>
              <m:t>i</m:t>
            </m:r>
          </m:sub>
        </m:sSub>
        <m:r>
          <m:t>=</m:t>
        </m:r>
        <m:sSub>
          <m:e>
            <m:r>
              <m:t>t</m:t>
            </m:r>
          </m:e>
          <m:sub>
            <m:r>
              <m:t>s</m:t>
            </m:r>
          </m:sub>
        </m:sSub>
        <m:r>
          <m:t>}.</m:t>
        </m:r>
      </m:oMath>
    </w:p>
    <w:p>
      <w:pPr>
        <w:ind w:firstLine="446"/>
      </w:pPr>
      <w:r>
        <w:rPr>
          <w:rFonts w:ascii="Microsoft YaHei" w:hAnsi="Microsoft YaHei" w:eastAsia="Microsoft YaHei" w:cs="Microsoft YaHei"/>
          <w:b w:val="0"/>
          <w:i w:val="0"/>
          <w:sz w:val="22"/>
        </w:rPr>
        <w:t>两侧使用不同的 IPCW 查询时点：</w:t>
      </w:r>
    </w:p>
    <w:p>
      <w:pPr>
        <w:pStyle w:val="Formula"/>
        <w:keepLines/>
        <w:ind w:firstLine="0"/>
        <w:jc w:val="center"/>
      </w:pPr>
      <m:oMath>
        <m:sSubSup>
          <m:e>
            <m:r>
              <m:t>w</m:t>
            </m:r>
          </m:e>
          <m:sub>
            <m:r>
              <m:t>i,s</m:t>
            </m:r>
          </m:sub>
          <m:sup>
            <m:r>
              <m:t>H</m:t>
            </m:r>
          </m:sup>
        </m:sSubSup>
        <m:r>
          <m:t>=</m:t>
        </m:r>
        <m:r>
          <m:rPr>
            <m:sty m:val="b"/>
          </m:rPr>
          <m:t>1</m:t>
        </m:r>
        <m:r>
          <m:t>[i∈</m:t>
        </m:r>
        <m:sSub>
          <m:e>
            <m:r>
              <m:rPr>
                <m:scr m:val="script"/>
              </m:rPr>
              <m:t>E</m:t>
            </m:r>
          </m:e>
          <m:sub>
            <m:r>
              <m:t>s</m:t>
            </m:r>
          </m:sub>
        </m:sSub>
        <m:r>
          <m:t>]</m:t>
        </m:r>
        <m:limUpp>
          <m:e>
            <m:r>
              <m:t>G</m:t>
            </m:r>
          </m:e>
          <m:lim>
            <m:r>
              <m:t>^</m:t>
            </m:r>
          </m:lim>
        </m:limUpp>
        <m:r>
          <m:t>(</m:t>
        </m:r>
        <m:sSub>
          <m:e>
            <m:r>
              <m:t>T</m:t>
            </m:r>
          </m:e>
          <m:sub>
            <m:r>
              <m:t>i</m:t>
            </m:r>
          </m:sub>
        </m:sSub>
        <m:sSup>
          <m:e>
            <m:r>
              <m:t>)</m:t>
            </m:r>
          </m:e>
          <m:sup>
            <m:r>
              <m:t>−1</m:t>
            </m:r>
          </m:sup>
        </m:sSup>
        <m:r>
          <m:t>,</m:t>
        </m:r>
        <m:sSubSup>
          <m:e>
            <m:r>
              <m:t>w</m:t>
            </m:r>
          </m:e>
          <m:sub>
            <m:r>
              <m:t>i,s</m:t>
            </m:r>
          </m:sub>
          <m:sup>
            <m:r>
              <m:t>L</m:t>
            </m:r>
          </m:sup>
        </m:sSubSup>
        <m:r>
          <m:t>=</m:t>
        </m:r>
        <m:r>
          <m:rPr>
            <m:sty m:val="b"/>
          </m:rPr>
          <m:t>1</m:t>
        </m:r>
        <m:r>
          <m:t>[i∈</m:t>
        </m:r>
        <m:sSub>
          <m:e>
            <m:r>
              <m:rPr>
                <m:scr m:val="script"/>
              </m:rPr>
              <m:t>S</m:t>
            </m:r>
          </m:e>
          <m:sub>
            <m:r>
              <m:t>s</m:t>
            </m:r>
          </m:sub>
        </m:sSub>
        <m:r>
          <m:t>]</m:t>
        </m:r>
        <m:limUpp>
          <m:e>
            <m:r>
              <m:t>G</m:t>
            </m:r>
          </m:e>
          <m:lim>
            <m:r>
              <m:t>^</m:t>
            </m:r>
          </m:lim>
        </m:limUpp>
        <m:r>
          <m:t>(</m:t>
        </m:r>
        <m:sSub>
          <m:e>
            <m:r>
              <m:t>t</m:t>
            </m:r>
          </m:e>
          <m:sub>
            <m:r>
              <m:t>s</m:t>
            </m:r>
          </m:sub>
        </m:sSub>
        <m:sSup>
          <m:e>
            <m:r>
              <m:t>)</m:t>
            </m:r>
          </m:e>
          <m:sup>
            <m:r>
              <m:t>−1</m:t>
            </m:r>
          </m:sup>
        </m:sSup>
        <m:r>
          <m:t>.</m:t>
        </m:r>
      </m:oMath>
    </w:p>
    <w:p>
      <w:pPr>
        <w:ind w:firstLine="446"/>
      </w:pPr>
      <w:r>
        <w:rPr>
          <w:rFonts w:ascii="Microsoft YaHei" w:hAnsi="Microsoft YaHei" w:eastAsia="Microsoft YaHei" w:cs="Microsoft YaHei"/>
          <w:b w:val="0"/>
          <w:i w:val="0"/>
          <w:sz w:val="22"/>
        </w:rPr>
        <w:t xml:space="preserve">代码中的锚点不是对整个训练折一次性求均值，而是先在第 </w:t>
      </w:r>
      <m:oMath>
        <m:r>
          <m:t>t</m:t>
        </m:r>
      </m:oMath>
      <w:r>
        <w:rPr>
          <w:rFonts w:ascii="Microsoft YaHei" w:hAnsi="Microsoft YaHei" w:eastAsia="Microsoft YaHei" w:cs="Microsoft YaHei"/>
          <w:b w:val="0"/>
          <w:i w:val="0"/>
          <w:sz w:val="22"/>
        </w:rPr>
        <w:t xml:space="preserve"> 个训练批 </w:t>
      </w:r>
      <m:oMath>
        <m:sSub>
          <m:e>
            <m:r>
              <m:rPr>
                <m:scr m:val="script"/>
              </m:rPr>
              <m:t>B</m:t>
            </m:r>
          </m:e>
          <m:sub>
            <m:r>
              <m:t>t</m:t>
            </m:r>
          </m:sub>
        </m:sSub>
      </m:oMath>
      <w:r>
        <w:rPr>
          <w:rFonts w:ascii="Microsoft YaHei" w:hAnsi="Microsoft YaHei" w:eastAsia="Microsoft YaHei" w:cs="Microsoft YaHei"/>
          <w:b w:val="0"/>
          <w:i w:val="0"/>
          <w:sz w:val="22"/>
        </w:rPr>
        <w:t xml:space="preserve"> 内计算加权代价，再做在线更新。对 </w:t>
      </w:r>
      <m:oMath>
        <m:r>
          <m:t>u∈{L,H}</m:t>
        </m:r>
      </m:oMath>
      <w:r>
        <w:rPr>
          <w:rFonts w:ascii="Microsoft YaHei" w:hAnsi="Microsoft YaHei" w:eastAsia="Microsoft YaHei" w:cs="Microsoft YaHei"/>
          <w:b w:val="0"/>
          <w:i w:val="0"/>
          <w:sz w:val="22"/>
        </w:rPr>
        <w:t>，</w:t>
      </w:r>
    </w:p>
    <w:p>
      <w:pPr>
        <w:pStyle w:val="Formula"/>
        <w:keepLines/>
        <w:ind w:firstLine="0"/>
        <w:jc w:val="center"/>
      </w:pPr>
      <m:oMath>
        <m:sSubSup>
          <m:e>
            <m:limUpp>
              <m:e>
                <m:r>
                  <m:t>A</m:t>
                </m:r>
              </m:e>
              <m:lim>
                <m:r>
                  <m:t>~</m:t>
                </m:r>
              </m:lim>
            </m:limUpp>
          </m:e>
          <m:sub>
            <m:r>
              <m:t>s,q,t</m:t>
            </m:r>
          </m:sub>
          <m:sup>
            <m:r>
              <m:t>u</m:t>
            </m:r>
          </m:sup>
        </m:sSubSup>
        <m:r>
          <m:t>=</m:t>
        </m:r>
        <m:f>
          <m:fPr>
            <m:type m:val="bar"/>
          </m:fPr>
          <m:num>
            <m:nary>
              <m:naryPr>
                <m:chr m:val="∑"/>
                <m:limLoc m:val="subSup"/>
                <m:grow m:val="1"/>
                <m:subHide m:val="off"/>
                <m:supHide m:val="on"/>
              </m:naryPr>
              <m:sub>
                <m:r>
                  <m:t>i∈</m:t>
                </m:r>
                <m:sSub>
                  <m:e>
                    <m:r>
                      <m:rPr>
                        <m:scr m:val="script"/>
                      </m:rPr>
                      <m:t>B</m:t>
                    </m:r>
                  </m:e>
                  <m:sub>
                    <m:r>
                      <m:t>t</m:t>
                    </m:r>
                  </m:sub>
                </m:sSub>
              </m:sub>
              <m:sup/>
              <m:e>
                <m:sSubSup>
                  <m:e>
                    <m:r>
                      <m:t>w</m:t>
                    </m:r>
                  </m:e>
                  <m:sub>
                    <m:r>
                      <m:t>i,s</m:t>
                    </m:r>
                  </m:sub>
                  <m:sup>
                    <m:r>
                      <m:t>u</m:t>
                    </m:r>
                  </m:sup>
                </m:sSubSup>
              </m:e>
            </m:nary>
            <m:sSub>
              <m:e>
                <m:r>
                  <m:t>C</m:t>
                </m:r>
              </m:e>
              <m:sub>
                <m:r>
                  <m:t>i,s,q</m:t>
                </m:r>
              </m:sub>
            </m:sSub>
          </m:num>
          <m:den>
            <m:nary>
              <m:naryPr>
                <m:chr m:val="∑"/>
                <m:limLoc m:val="subSup"/>
                <m:grow m:val="1"/>
                <m:subHide m:val="off"/>
                <m:supHide m:val="on"/>
              </m:naryPr>
              <m:sub>
                <m:r>
                  <m:t>i∈</m:t>
                </m:r>
                <m:sSub>
                  <m:e>
                    <m:r>
                      <m:rPr>
                        <m:scr m:val="script"/>
                      </m:rPr>
                      <m:t>B</m:t>
                    </m:r>
                  </m:e>
                  <m:sub>
                    <m:r>
                      <m:t>t</m:t>
                    </m:r>
                  </m:sub>
                </m:sSub>
              </m:sub>
              <m:sup/>
              <m:e>
                <m:sSubSup>
                  <m:e>
                    <m:r>
                      <m:t>w</m:t>
                    </m:r>
                  </m:e>
                  <m:sub>
                    <m:r>
                      <m:t>i,s</m:t>
                    </m:r>
                  </m:sub>
                  <m:sup>
                    <m:r>
                      <m:t>u</m:t>
                    </m:r>
                  </m:sup>
                </m:sSubSup>
              </m:e>
            </m:nary>
          </m:den>
        </m:f>
        <m:r>
          <m:t>,</m:t>
        </m:r>
        <m:sSubSup>
          <m:e>
            <m:r>
              <m:t>A</m:t>
            </m:r>
          </m:e>
          <m:sub>
            <m:r>
              <m:t>s,q,t</m:t>
            </m:r>
          </m:sub>
          <m:sup>
            <m:r>
              <m:t>u</m:t>
            </m:r>
          </m:sup>
        </m:sSubSup>
        <m:r>
          <m:t>=0.90</m:t>
        </m:r>
        <m:sSubSup>
          <m:e>
            <m:r>
              <m:t>A</m:t>
            </m:r>
          </m:e>
          <m:sub>
            <m:r>
              <m:t>s,q,t−1</m:t>
            </m:r>
          </m:sub>
          <m:sup>
            <m:r>
              <m:t>u</m:t>
            </m:r>
          </m:sup>
        </m:sSubSup>
        <m:r>
          <m:t>+0.10</m:t>
        </m:r>
        <m:sSubSup>
          <m:e>
            <m:limUpp>
              <m:e>
                <m:r>
                  <m:t>A</m:t>
                </m:r>
              </m:e>
              <m:lim>
                <m:r>
                  <m:t>~</m:t>
                </m:r>
              </m:lim>
            </m:limUpp>
          </m:e>
          <m:sub>
            <m:r>
              <m:t>s,q,t</m:t>
            </m:r>
          </m:sub>
          <m:sup>
            <m:r>
              <m:t>u</m:t>
            </m:r>
          </m:sup>
        </m:sSubSup>
        <m:r>
          <m:t>.</m:t>
        </m:r>
      </m:oMath>
    </w:p>
    <w:p>
      <w:pPr>
        <w:ind w:firstLine="446"/>
      </w:pPr>
      <w:r>
        <w:rPr>
          <w:rFonts w:ascii="Microsoft YaHei" w:hAnsi="Microsoft YaHei" w:eastAsia="Microsoft YaHei" w:cs="Microsoft YaHei"/>
          <w:b w:val="0"/>
          <w:i w:val="0"/>
          <w:sz w:val="22"/>
        </w:rPr>
        <w:t xml:space="preserve">首次出现有效权重时直接用当前批均值初始化；此后才使用动量 </w:t>
      </w:r>
      <m:oMath>
        <m:r>
          <m:t>0.90</m:t>
        </m:r>
      </m:oMath>
      <w:r>
        <w:rPr>
          <w:rFonts w:ascii="Microsoft YaHei" w:hAnsi="Microsoft YaHei" w:eastAsia="Microsoft YaHei" w:cs="Microsoft YaHei"/>
          <w:b w:val="0"/>
          <w:i w:val="0"/>
          <w:sz w:val="22"/>
        </w:rPr>
        <w:t xml:space="preserve"> 的指数滑动平均。模型按阶段和风险侧分别记录锚点是否已观察到有效样本。若某侧锚点尚不存在，该分支在相应阶段退回事实代价，避免凭空引入干预方向。测试折结局不参与时间分箱、删失估计或锚点更新。</w:t>
      </w:r>
    </w:p>
    <w:tbl>
      <w:tblPr>
        <w:tblStyle w:val="TableGrid"/>
        <w:tblW w:type="dxa" w:w="9360"/>
        <w:tblLayout w:type="fixed"/>
        <w:tblLook w:firstColumn="1" w:firstRow="1" w:lastColumn="0" w:lastRow="0" w:noHBand="0" w:noVBand="1" w:val="04A0"/>
        <w:tblInd w:w="120" w:type="dxa"/>
        <w:tblBorders>
          <w:top w:val="single" w:sz="5" w:space="0" w:color="7A5A00"/>
          <w:left w:val="single" w:sz="5" w:space="0" w:color="7A5A00"/>
          <w:bottom w:val="single" w:sz="5" w:space="0" w:color="7A5A00"/>
          <w:right w:val="single" w:sz="5" w:space="0" w:color="7A5A00"/>
          <w:insideH w:val="single" w:sz="5" w:space="0" w:color="7A5A00"/>
          <w:insideV w:val="single" w:sz="5" w:space="0" w:color="7A5A00"/>
        </w:tblBorders>
      </w:tblPr>
      <w:tblGrid>
        <w:gridCol w:w="9360"/>
      </w:tblGrid>
      <w:tr>
        <w:trPr>
          <w:cantSplit/>
        </w:trPr>
        <w:tc>
          <w:tcPr>
            <w:tcW w:type="dxa" w:w="9360"/>
            <w:tcMar>
              <w:top w:w="80" w:type="dxa"/>
              <w:start w:w="120" w:type="dxa"/>
              <w:bottom w:w="80" w:type="dxa"/>
              <w:end w:w="120" w:type="dxa"/>
            </w:tcMar>
            <w:vAlign w:val="center"/>
            <w:shd w:fill="FFF4CC" w:val="clear"/>
            <w:tcBorders>
              <w:top w:val="single" w:sz="7" w:space="0" w:color="7A5A00"/>
              <w:left w:val="single" w:sz="7" w:space="0" w:color="7A5A00"/>
              <w:bottom w:val="single" w:sz="7" w:space="0" w:color="7A5A00"/>
              <w:right w:val="single" w:sz="7" w:space="0" w:color="7A5A00"/>
            </w:tcBorders>
          </w:tcPr>
          <w:p>
            <w:pPr>
              <w:spacing w:before="20" w:after="20" w:line="283" w:lineRule="auto"/>
              <w:ind w:firstLine="0"/>
            </w:pPr>
            <w:r>
              <w:rPr>
                <w:rFonts w:ascii="Microsoft YaHei" w:hAnsi="Microsoft YaHei" w:eastAsia="Microsoft YaHei" w:cs="Microsoft YaHei"/>
                <w:b/>
                <w:i w:val="0"/>
                <w:color w:val="7A5A00"/>
                <w:sz w:val="18"/>
              </w:rPr>
              <w:t>IPCW 阶数锚点说明（v4.1 修订）</w:t>
            </w:r>
          </w:p>
          <w:p>
            <w:pPr>
              <w:spacing w:before="20" w:after="20" w:line="283" w:lineRule="auto"/>
              <w:ind w:firstLine="0"/>
            </w:pPr>
            <w:r>
              <w:rPr>
                <w:rFonts w:ascii="Microsoft YaHei" w:hAnsi="Microsoft YaHei" w:eastAsia="Microsoft YaHei" w:cs="Microsoft YaHei"/>
                <w:i w:val="0"/>
                <w:color w:val="7A5A00"/>
                <w:sz w:val="18"/>
              </w:rPr>
              <w:t>§3.5 锚点采用一阶 IPCW：wi,sH = 1[i∈Es] · Ĝ(Ti)−1，wi,sL = 1[i∈Ss] · Ĝ(ts)−1；其中 Ĝ 由当前训练折的 Kaplan–Meier 估计给出。该权重仅用于在训练批内对事实代价做加权均值，再以动量 0.90 滑动累积为风险锚点 A^u_s。它与 §3.8 排序损失所用的 IPCW 阶数不同，参见下方对应提示框。</w:t>
            </w:r>
          </w:p>
        </w:tc>
      </w:tr>
    </w:tbl>
    <w:p>
      <w:pPr>
        <w:pStyle w:val="Heading2"/>
        <w:keepNext/>
        <w:ind w:firstLine="0"/>
      </w:pPr>
      <w:r>
        <w:rPr>
          <w:rFonts w:ascii="Microsoft YaHei" w:hAnsi="Microsoft YaHei" w:eastAsia="Microsoft YaHei" w:cs="Microsoft YaHei"/>
          <w:b/>
          <w:i w:val="0"/>
          <w:color w:val="2E74B5"/>
          <w:sz w:val="26"/>
        </w:rPr>
        <w:t>3.6  代价干预与方向损失</w:t>
      </w:r>
    </w:p>
    <w:p>
      <w:pPr>
        <w:ind w:firstLine="446"/>
      </w:pPr>
      <w:r>
        <w:rPr>
          <w:rFonts w:ascii="Microsoft YaHei" w:hAnsi="Microsoft YaHei" w:eastAsia="Microsoft YaHei" w:cs="Microsoft YaHei"/>
          <w:b w:val="0"/>
          <w:i w:val="0"/>
          <w:sz w:val="22"/>
        </w:rPr>
        <w:t xml:space="preserve">风险集锚点确定方向后，我们即可按图 2D 的共享路径在代价空间实施受控干预并检验预测响应。对任意干预强度 </w:t>
      </w:r>
      <m:oMath>
        <m:r>
          <m:t>α∈[0,1]</m:t>
        </m:r>
      </m:oMath>
      <w:r>
        <w:rPr>
          <w:rFonts w:ascii="Microsoft YaHei" w:hAnsi="Microsoft YaHei" w:eastAsia="Microsoft YaHei" w:cs="Microsoft YaHei"/>
          <w:b w:val="0"/>
          <w:i w:val="0"/>
          <w:sz w:val="22"/>
        </w:rPr>
        <w:t>，定义</w:t>
      </w:r>
    </w:p>
    <w:p>
      <w:pPr>
        <w:pStyle w:val="Formula"/>
        <w:keepLines/>
        <w:ind w:firstLine="0"/>
        <w:jc w:val="center"/>
      </w:pPr>
      <m:oMath>
        <m:sSubSup>
          <m:e>
            <m:r>
              <m:t>C</m:t>
            </m:r>
          </m:e>
          <m:sub>
            <m:r>
              <m:t>α</m:t>
            </m:r>
          </m:sub>
          <m:sup>
            <m:r>
              <m:t>L</m:t>
            </m:r>
          </m:sup>
        </m:sSubSup>
        <m:r>
          <m:t>=(1−α)</m:t>
        </m:r>
        <m:sSub>
          <m:e>
            <m:r>
              <m:t>C</m:t>
            </m:r>
          </m:e>
          <m:sub>
            <m:r>
              <m:rPr>
                <m:sty m:val="p"/>
              </m:rPr>
              <m:t>fact</m:t>
            </m:r>
          </m:sub>
        </m:sSub>
        <m:r>
          <m:t>+α</m:t>
        </m:r>
        <m:sSup>
          <m:e>
            <m:r>
              <m:t>A</m:t>
            </m:r>
          </m:e>
          <m:sup>
            <m:r>
              <m:t>L</m:t>
            </m:r>
          </m:sup>
        </m:sSup>
        <m:r>
          <m:t>,</m:t>
        </m:r>
        <m:sSubSup>
          <m:e>
            <m:r>
              <m:t>C</m:t>
            </m:r>
          </m:e>
          <m:sub>
            <m:r>
              <m:t>α</m:t>
            </m:r>
          </m:sub>
          <m:sup>
            <m:r>
              <m:t>H</m:t>
            </m:r>
          </m:sup>
        </m:sSubSup>
        <m:r>
          <m:t>=(1−α)</m:t>
        </m:r>
        <m:sSub>
          <m:e>
            <m:r>
              <m:t>C</m:t>
            </m:r>
          </m:e>
          <m:sub>
            <m:r>
              <m:rPr>
                <m:sty m:val="p"/>
              </m:rPr>
              <m:t>fact</m:t>
            </m:r>
          </m:sub>
        </m:sSub>
        <m:r>
          <m:t>+α</m:t>
        </m:r>
        <m:sSup>
          <m:e>
            <m:r>
              <m:t>A</m:t>
            </m:r>
          </m:e>
          <m:sup>
            <m:r>
              <m:t>H</m:t>
            </m:r>
          </m:sup>
        </m:sSup>
        <m:r>
          <m:t>,</m:t>
        </m:r>
      </m:oMath>
    </w:p>
    <w:p>
      <w:pPr>
        <w:ind w:firstLine="446"/>
      </w:pPr>
      <w:r>
        <w:rPr>
          <w:rFonts w:ascii="Microsoft YaHei" w:hAnsi="Microsoft YaHei" w:eastAsia="Microsoft YaHei" w:cs="Microsoft YaHei"/>
          <w:b w:val="0"/>
          <w:i w:val="0"/>
          <w:sz w:val="22"/>
        </w:rPr>
        <w:t>并在原边际约束下重新求解</w:t>
      </w:r>
    </w:p>
    <w:p>
      <w:pPr>
        <w:pStyle w:val="Formula"/>
        <w:keepLines/>
        <w:ind w:firstLine="0"/>
        <w:jc w:val="center"/>
      </w:pPr>
      <m:oMath>
        <m:sSubSup>
          <m:e>
            <m:r>
              <m:t>Π</m:t>
            </m:r>
          </m:e>
          <m:sub>
            <m:r>
              <m:t>α</m:t>
            </m:r>
          </m:sub>
          <m:sup>
            <m:r>
              <m:t>L</m:t>
            </m:r>
          </m:sup>
        </m:sSubSup>
        <m:r>
          <m:t>=Sinkhorn(</m:t>
        </m:r>
        <m:sSubSup>
          <m:e>
            <m:r>
              <m:t>C</m:t>
            </m:r>
          </m:e>
          <m:sub>
            <m:r>
              <m:t>α</m:t>
            </m:r>
          </m:sub>
          <m:sup>
            <m:r>
              <m:t>L</m:t>
            </m:r>
          </m:sup>
        </m:sSubSup>
        <m:r>
          <m:t>,μ,ν),</m:t>
        </m:r>
        <m:sSubSup>
          <m:e>
            <m:r>
              <m:t>Π</m:t>
            </m:r>
          </m:e>
          <m:sub>
            <m:r>
              <m:t>α</m:t>
            </m:r>
          </m:sub>
          <m:sup>
            <m:r>
              <m:t>H</m:t>
            </m:r>
          </m:sup>
        </m:sSubSup>
        <m:r>
          <m:t>=Sinkhorn(</m:t>
        </m:r>
        <m:sSubSup>
          <m:e>
            <m:r>
              <m:t>C</m:t>
            </m:r>
          </m:e>
          <m:sub>
            <m:r>
              <m:t>α</m:t>
            </m:r>
          </m:sub>
          <m:sup>
            <m:r>
              <m:t>H</m:t>
            </m:r>
          </m:sup>
        </m:sSubSup>
        <m:r>
          <m:t>,μ,ν).</m:t>
        </m:r>
      </m:oMath>
    </w:p>
    <w:p>
      <w:pPr>
        <w:ind w:firstLine="446"/>
      </w:pPr>
      <w:r>
        <w:rPr>
          <w:rFonts w:ascii="Microsoft YaHei" w:hAnsi="Microsoft YaHei" w:eastAsia="Microsoft YaHei" w:cs="Microsoft YaHei"/>
          <w:b w:val="0"/>
          <w:i w:val="0"/>
          <w:sz w:val="22"/>
        </w:rPr>
        <w:t xml:space="preserve">除固定耦合零假设外，干预分支不复用事实计划。事实风险记为 </w:t>
      </w:r>
      <m:oMath>
        <m:sSubSup>
          <m:e>
            <m:r>
              <m:t>r</m:t>
            </m:r>
          </m:e>
          <m:sub>
            <m:r>
              <m:t>b</m:t>
            </m:r>
          </m:sub>
          <m:sup>
            <m:r>
              <m:t>0</m:t>
            </m:r>
          </m:sup>
        </m:sSubSup>
      </m:oMath>
      <w:r>
        <w:rPr>
          <w:rFonts w:ascii="Microsoft YaHei" w:hAnsi="Microsoft YaHei" w:eastAsia="Microsoft YaHei" w:cs="Microsoft YaHei"/>
          <w:b w:val="0"/>
          <w:i w:val="0"/>
          <w:sz w:val="22"/>
        </w:rPr>
        <w:t xml:space="preserve">，低、高风险干预后的风险分别记为 </w:t>
      </w:r>
      <m:oMath>
        <m:sSubSup>
          <m:e>
            <m:r>
              <m:t>r</m:t>
            </m:r>
          </m:e>
          <m:sub>
            <m:r>
              <m:t>α,b</m:t>
            </m:r>
          </m:sub>
          <m:sup>
            <m:r>
              <m:t>L</m:t>
            </m:r>
          </m:sup>
        </m:sSubSup>
      </m:oMath>
      <w:r>
        <w:rPr>
          <w:rFonts w:ascii="Microsoft YaHei" w:hAnsi="Microsoft YaHei" w:eastAsia="Microsoft YaHei" w:cs="Microsoft YaHei"/>
          <w:b w:val="0"/>
          <w:i w:val="0"/>
          <w:sz w:val="22"/>
        </w:rPr>
        <w:t xml:space="preserve"> 与 </w:t>
      </w:r>
      <m:oMath>
        <m:sSubSup>
          <m:e>
            <m:r>
              <m:t>r</m:t>
            </m:r>
          </m:e>
          <m:sub>
            <m:r>
              <m:t>α,b</m:t>
            </m:r>
          </m:sub>
          <m:sup>
            <m:r>
              <m:t>H</m:t>
            </m:r>
          </m:sup>
        </m:sSubSup>
      </m:oMath>
      <w:r>
        <w:rPr>
          <w:rFonts w:ascii="Microsoft YaHei" w:hAnsi="Microsoft YaHei" w:eastAsia="Microsoft YaHei" w:cs="Microsoft YaHei"/>
          <w:b w:val="0"/>
          <w:i w:val="0"/>
          <w:sz w:val="22"/>
        </w:rPr>
        <w:t xml:space="preserve">。需要区分训练与审计：冻结训练配方只在 </w:t>
      </w:r>
      <m:oMath>
        <m:r>
          <m:t>α=1</m:t>
        </m:r>
      </m:oMath>
      <w:r>
        <w:rPr>
          <w:rFonts w:ascii="Microsoft YaHei" w:hAnsi="Microsoft YaHei" w:eastAsia="Microsoft YaHei" w:cs="Microsoft YaHei"/>
          <w:b w:val="0"/>
          <w:i w:val="0"/>
          <w:sz w:val="22"/>
        </w:rPr>
        <w:t xml:space="preserve"> 处求解低、高风险端点并计算方向损失；</w:t>
      </w:r>
      <m:oMath>
        <m:d>
          <m:dPr>
            <m:begChr m:val="{"/>
            <m:sepChr m:val=","/>
            <m:endChr m:val="}"/>
          </m:dPr>
          <m:e>
            <m:r>
              <m:t>0</m:t>
            </m:r>
          </m:e>
          <m:e>
            <m:r>
              <m:t>0.25</m:t>
            </m:r>
          </m:e>
          <m:e>
            <m:r>
              <m:t>0.5</m:t>
            </m:r>
          </m:e>
          <m:e>
            <m:r>
              <m:t>0.75</m:t>
            </m:r>
          </m:e>
          <m:e>
            <m:r>
              <m:t>1</m:t>
            </m:r>
          </m:e>
        </m:d>
      </m:oMath>
      <w:r>
        <w:rPr>
          <w:rFonts w:ascii="Microsoft YaHei" w:hAnsi="Microsoft YaHei" w:eastAsia="Microsoft YaHei" w:cs="Microsoft YaHei"/>
          <w:b w:val="0"/>
          <w:i w:val="0"/>
          <w:sz w:val="22"/>
        </w:rPr>
        <w:t xml:space="preserve"> 五点路径仅用于评估阶段的剂量单调性审计。因此，主训练前向包含事实计划与两个端点分支，而不是 11 次 Sinkhorn。</w:t>
      </w:r>
    </w:p>
    <w:p>
      <w:pPr>
        <w:ind w:firstLine="446"/>
      </w:pPr>
      <w:r>
        <w:rPr>
          <w:rFonts w:ascii="Microsoft YaHei" w:hAnsi="Microsoft YaHei" w:eastAsia="Microsoft YaHei" w:cs="Microsoft YaHei"/>
          <w:b w:val="0"/>
          <w:i w:val="0"/>
          <w:sz w:val="22"/>
        </w:rPr>
        <w:t>方向损失要求高风险端点相对事实风险上升、低风险端点相对事实风险下降：</w:t>
      </w:r>
    </w:p>
    <w:p>
      <w:pPr>
        <w:pStyle w:val="Formula"/>
        <w:keepLines/>
        <w:ind w:firstLine="0"/>
        <w:jc w:val="center"/>
      </w:pPr>
      <m:oMath>
        <m:sSub>
          <m:e>
            <m:r>
              <m:rPr>
                <m:scr m:val="script"/>
              </m:rPr>
              <m:t>L</m:t>
            </m:r>
          </m:e>
          <m:sub>
            <m:r>
              <m:rPr>
                <m:sty m:val="p"/>
              </m:rPr>
              <m:t>dir</m:t>
            </m:r>
          </m:sub>
        </m:sSub>
        <m:r>
          <m:t>=</m:t>
        </m:r>
        <m:f>
          <m:fPr>
            <m:type m:val="bar"/>
          </m:fPr>
          <m:num>
            <m:r>
              <m:t>1</m:t>
            </m:r>
          </m:num>
          <m:den>
            <m:r>
              <m:t>2</m:t>
            </m:r>
          </m:den>
        </m:f>
        <m:sSub>
          <m:e>
            <m:r>
              <m:rPr>
                <m:scr m:val="double-struck"/>
                <m:sty m:val="p"/>
              </m:rPr>
              <m:t>E</m:t>
            </m:r>
          </m:e>
          <m:sub>
            <m:r>
              <m:t>b</m:t>
            </m:r>
          </m:sub>
        </m:sSub>
        <m:d>
          <m:dPr>
            <m:begChr m:val="["/>
            <m:sepChr m:val=""/>
            <m:endChr m:val="]"/>
          </m:dPr>
          <m:e>
            <m:r>
              <m:t>τ</m:t>
            </m:r>
            <m:r>
              <m:t>softplus</m:t>
            </m:r>
            <m:d>
              <m:dPr>
                <m:sepChr m:val=""/>
              </m:dPr>
              <m:e>
                <m:f>
                  <m:fPr>
                    <m:type m:val="bar"/>
                  </m:fPr>
                  <m:num>
                    <m:r>
                      <m:t>m−(</m:t>
                    </m:r>
                    <m:sSubSup>
                      <m:e>
                        <m:r>
                          <m:t>r</m:t>
                        </m:r>
                      </m:e>
                      <m:sub>
                        <m:r>
                          <m:t>1,b</m:t>
                        </m:r>
                      </m:sub>
                      <m:sup>
                        <m:r>
                          <m:t>H</m:t>
                        </m:r>
                      </m:sup>
                    </m:sSubSup>
                    <m:r>
                      <m:t>−</m:t>
                    </m:r>
                    <m:sSubSup>
                      <m:e>
                        <m:r>
                          <m:t>r</m:t>
                        </m:r>
                      </m:e>
                      <m:sub>
                        <m:r>
                          <m:t>b</m:t>
                        </m:r>
                      </m:sub>
                      <m:sup>
                        <m:r>
                          <m:t>0</m:t>
                        </m:r>
                      </m:sup>
                    </m:sSubSup>
                    <m:r>
                      <m:t>)</m:t>
                    </m:r>
                  </m:num>
                  <m:den>
                    <m:r>
                      <m:t>τ</m:t>
                    </m:r>
                  </m:den>
                </m:f>
              </m:e>
            </m:d>
            <m:r>
              <m:t>+</m:t>
            </m:r>
            <m:r>
              <m:t>τ</m:t>
            </m:r>
            <m:r>
              <m:t>softplus</m:t>
            </m:r>
            <m:d>
              <m:dPr>
                <m:sepChr m:val=""/>
              </m:dPr>
              <m:e>
                <m:f>
                  <m:fPr>
                    <m:type m:val="bar"/>
                  </m:fPr>
                  <m:num>
                    <m:r>
                      <m:t>m−(</m:t>
                    </m:r>
                    <m:sSubSup>
                      <m:e>
                        <m:r>
                          <m:t>r</m:t>
                        </m:r>
                      </m:e>
                      <m:sub>
                        <m:r>
                          <m:t>b</m:t>
                        </m:r>
                      </m:sub>
                      <m:sup>
                        <m:r>
                          <m:t>0</m:t>
                        </m:r>
                      </m:sup>
                    </m:sSubSup>
                    <m:r>
                      <m:t>−</m:t>
                    </m:r>
                    <m:sSubSup>
                      <m:e>
                        <m:r>
                          <m:t>r</m:t>
                        </m:r>
                      </m:e>
                      <m:sub>
                        <m:r>
                          <m:t>1,b</m:t>
                        </m:r>
                      </m:sub>
                      <m:sup>
                        <m:r>
                          <m:t>L</m:t>
                        </m:r>
                      </m:sup>
                    </m:sSubSup>
                    <m:r>
                      <m:t>)</m:t>
                    </m:r>
                  </m:num>
                  <m:den>
                    <m:r>
                      <m:t>τ</m:t>
                    </m:r>
                  </m:den>
                </m:f>
              </m:e>
            </m:d>
          </m:e>
        </m:d>
        <m:r>
          <m:t>,</m:t>
        </m:r>
      </m:oMath>
    </w:p>
    <w:p>
      <w:pPr>
        <w:ind w:firstLine="446"/>
      </w:pPr>
      <w:r>
        <w:rPr>
          <w:rFonts w:ascii="Microsoft YaHei" w:hAnsi="Microsoft YaHei" w:eastAsia="Microsoft YaHei" w:cs="Microsoft YaHei"/>
          <w:b w:val="0"/>
          <w:i w:val="0"/>
          <w:sz w:val="22"/>
        </w:rPr>
        <w:t xml:space="preserve">其中 </w:t>
      </w:r>
      <m:oMath>
        <m:r>
          <m:t>m=0.02</m:t>
        </m:r>
      </m:oMath>
      <w:r>
        <w:rPr>
          <w:rFonts w:ascii="Microsoft YaHei" w:hAnsi="Microsoft YaHei" w:eastAsia="Microsoft YaHei" w:cs="Microsoft YaHei"/>
          <w:b w:val="0"/>
          <w:i w:val="0"/>
          <w:sz w:val="22"/>
        </w:rPr>
        <w:t>、</w:t>
      </w:r>
      <m:oMath>
        <m:r>
          <m:t>τ=0.05</m:t>
        </m:r>
      </m:oMath>
      <w:r>
        <w:rPr>
          <w:rFonts w:ascii="Microsoft YaHei" w:hAnsi="Microsoft YaHei" w:eastAsia="Microsoft YaHei" w:cs="Microsoft YaHei"/>
          <w:b w:val="0"/>
          <w:i w:val="0"/>
          <w:sz w:val="22"/>
        </w:rPr>
        <w:t xml:space="preserve">，损失权重为 </w:t>
      </w:r>
      <m:oMath>
        <m:r>
          <m:t>0.05</m:t>
        </m:r>
      </m:oMath>
      <w:r>
        <w:rPr>
          <w:rFonts w:ascii="Microsoft YaHei" w:hAnsi="Microsoft YaHei" w:eastAsia="Microsoft YaHei" w:cs="Microsoft YaHei"/>
          <w:b w:val="0"/>
          <w:i w:val="0"/>
          <w:sz w:val="22"/>
        </w:rPr>
        <w:t>。该项施加的是带最小间隔的端点方向约束，没有指定目标响应幅度；超过间隔后，softplus 惩罚及其梯度平滑衰减，但并非骤然归零。该项也不等同于训练五点剂量曲线。</w:t>
      </w:r>
    </w:p>
    <w:p>
      <w:pPr>
        <w:ind w:firstLine="446"/>
      </w:pPr>
      <w:r>
        <w:rPr>
          <w:rFonts w:ascii="Microsoft YaHei" w:hAnsi="Microsoft YaHei" w:eastAsia="Microsoft YaHei" w:cs="Microsoft YaHei"/>
          <w:b w:val="0"/>
          <w:i w:val="0"/>
          <w:sz w:val="22"/>
        </w:rPr>
        <w:t>与相关公开实现的差异可压缩为下表。这里比较的是公开默认或明确消融路径中的计算角色，而不是对方法整体有效性的评价。</w:t>
      </w: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1300"/>
        <w:gridCol w:w="3100"/>
        <w:gridCol w:w="2200"/>
        <w:gridCol w:w="2760"/>
      </w:tblGrid>
      <w:tr>
        <w:trPr>
          <w:cantSplit/>
          <w:tblHeader w:val="true"/>
        </w:trPr>
        <w:tc>
          <w:tcPr>
            <w:tcW w:type="dxa" w:w="130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方法</w:t>
            </w:r>
          </w:p>
        </w:tc>
        <w:tc>
          <w:tcPr>
            <w:tcW w:type="dxa" w:w="310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公开路径中的跨模态算子</w:t>
            </w:r>
          </w:p>
        </w:tc>
        <w:tc>
          <w:tcPr>
            <w:tcW w:type="dxa" w:w="220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代价改变后重求解</w:t>
            </w:r>
          </w:p>
        </w:tc>
        <w:tc>
          <w:tcPr>
            <w:tcW w:type="dxa" w:w="276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预定义患者级传输审计</w:t>
            </w:r>
          </w:p>
        </w:tc>
      </w:tr>
      <w:tr>
        <w:trPr>
          <w:cantSplit/>
        </w:trPr>
        <w:tc>
          <w:tcPr>
            <w:tcW w:type="dxa" w:w="13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MOTCat</w:t>
            </w:r>
          </w:p>
        </w:tc>
        <w:tc>
          <w:tcPr>
            <w:tcW w:type="dxa" w:w="31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单次 OT；代价图从梯度路径分离</w:t>
            </w:r>
          </w:p>
        </w:tc>
        <w:tc>
          <w:tcPr>
            <w:tcW w:type="dxa" w:w="22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c>
          <w:tcPr>
            <w:tcW w:type="dxa" w:w="27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r>
      <w:tr>
        <w:trPr>
          <w:cantSplit/>
        </w:trPr>
        <w:tc>
          <w:tcPr>
            <w:tcW w:type="dxa" w:w="13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MMP</w:t>
            </w:r>
          </w:p>
        </w:tc>
        <w:tc>
          <w:tcPr>
            <w:tcW w:type="dxa" w:w="31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默认协同注意力；OT 仅见于消融路径</w:t>
            </w:r>
          </w:p>
        </w:tc>
        <w:tc>
          <w:tcPr>
            <w:tcW w:type="dxa" w:w="22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c>
          <w:tcPr>
            <w:tcW w:type="dxa" w:w="27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r>
      <w:tr>
        <w:trPr>
          <w:cantSplit/>
        </w:trPr>
        <w:tc>
          <w:tcPr>
            <w:tcW w:type="dxa" w:w="13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CMTA</w:t>
            </w:r>
          </w:p>
        </w:tc>
        <w:tc>
          <w:tcPr>
            <w:tcW w:type="dxa" w:w="31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双向翻译与交叉注意力</w:t>
            </w:r>
          </w:p>
        </w:tc>
        <w:tc>
          <w:tcPr>
            <w:tcW w:type="dxa" w:w="22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不适用</w:t>
            </w:r>
          </w:p>
        </w:tc>
        <w:tc>
          <w:tcPr>
            <w:tcW w:type="dxa" w:w="27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r>
      <w:tr>
        <w:trPr>
          <w:cantSplit/>
        </w:trPr>
        <w:tc>
          <w:tcPr>
            <w:tcW w:type="dxa" w:w="13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MCAT</w:t>
            </w:r>
          </w:p>
        </w:tc>
        <w:tc>
          <w:tcPr>
            <w:tcW w:type="dxa" w:w="31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稠密交叉注意力</w:t>
            </w:r>
          </w:p>
        </w:tc>
        <w:tc>
          <w:tcPr>
            <w:tcW w:type="dxa" w:w="22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不适用</w:t>
            </w:r>
          </w:p>
        </w:tc>
        <w:tc>
          <w:tcPr>
            <w:tcW w:type="dxa" w:w="27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否</w:t>
            </w:r>
          </w:p>
        </w:tc>
      </w:tr>
      <w:tr>
        <w:trPr>
          <w:cantSplit/>
        </w:trPr>
        <w:tc>
          <w:tcPr>
            <w:tcW w:type="dxa" w:w="13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i w:val="0"/>
                <w:color w:val="1F2937"/>
                <w:sz w:val="18"/>
              </w:rPr>
              <w:t>DCT</w:t>
            </w:r>
          </w:p>
        </w:tc>
        <w:tc>
          <w:tcPr>
            <w:tcW w:type="dxa" w:w="31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阶段条件三几何 OT</w:t>
            </w:r>
          </w:p>
        </w:tc>
        <w:tc>
          <w:tcPr>
            <w:tcW w:type="dxa" w:w="22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i w:val="0"/>
                <w:color w:val="1F2937"/>
                <w:sz w:val="18"/>
              </w:rPr>
              <w:t>训练：事实 + 低/高端点；审计：低/高端点及高风险五点路径逐分支重求解</w:t>
            </w:r>
          </w:p>
        </w:tc>
        <w:tc>
          <w:tcPr>
            <w:tcW w:type="dxa" w:w="27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i w:val="0"/>
                <w:color w:val="1F2937"/>
                <w:sz w:val="18"/>
              </w:rPr>
              <w:t>DCR / DMR / Plan TV</w:t>
            </w:r>
          </w:p>
        </w:tc>
      </w:tr>
    </w:tbl>
    <w:p>
      <w:pPr>
        <w:spacing w:before="0" w:after="60"/>
      </w:pPr>
    </w:p>
    <w:p>
      <w:pPr>
        <w:ind w:firstLine="446"/>
      </w:pPr>
      <w:r>
        <w:rPr>
          <w:rFonts w:ascii="Microsoft YaHei" w:hAnsi="Microsoft YaHei" w:eastAsia="Microsoft YaHei" w:cs="Microsoft YaHei"/>
          <w:b w:val="0"/>
          <w:i w:val="0"/>
          <w:sz w:val="22"/>
        </w:rPr>
        <w:t>因此，在本文审计的四份公开实现中，DCT 的具体差异集中于一条完整闭环：代价扰动后重新优化耦合，由同一风险读取路径计算响应，并以预先定义的计划级和风险级指标审计该响应。</w:t>
      </w:r>
    </w:p>
    <w:p>
      <w:pPr>
        <w:pStyle w:val="Heading2"/>
        <w:keepNext/>
        <w:ind w:firstLine="0"/>
      </w:pPr>
      <w:r>
        <w:rPr>
          <w:rFonts w:ascii="Microsoft YaHei" w:hAnsi="Microsoft YaHei" w:eastAsia="Microsoft YaHei" w:cs="Microsoft YaHei"/>
          <w:b/>
          <w:i w:val="0"/>
          <w:color w:val="2E74B5"/>
          <w:sz w:val="26"/>
        </w:rPr>
        <w:t>3.7  基于运输事件表征的风险读取</w:t>
      </w:r>
    </w:p>
    <w:p>
      <w:pPr>
        <w:ind w:firstLine="446"/>
      </w:pPr>
      <w:r>
        <w:rPr>
          <w:rFonts w:ascii="Microsoft YaHei" w:hAnsi="Microsoft YaHei" w:eastAsia="Microsoft YaHei" w:cs="Microsoft YaHei"/>
          <w:b w:val="0"/>
          <w:i w:val="0"/>
          <w:sz w:val="22"/>
        </w:rPr>
        <w:t>重新求解计划之后，事实与干预分支必须通过同一风险读取器，才能把输出差异归因于代价—计划链条。对每个阶段，三种几何计划与双模态槽表征共同生成运输事件 token，记为</w:t>
      </w:r>
    </w:p>
    <w:p>
      <w:pPr>
        <w:pStyle w:val="Formula"/>
        <w:keepLines/>
        <w:ind w:firstLine="0"/>
        <w:jc w:val="center"/>
      </w:pPr>
      <m:oMath>
        <m:sSub>
          <m:e>
            <m:r>
              <m:t>h</m:t>
            </m:r>
          </m:e>
          <m:sub>
            <m:r>
              <m:t>b,s</m:t>
            </m:r>
          </m:sub>
        </m:sSub>
        <m:r>
          <m:t>=</m:t>
        </m:r>
        <m:sSub>
          <m:e>
            <m:r>
              <m:t>F</m:t>
            </m:r>
          </m:e>
          <m:sub>
            <m:r>
              <m:rPr>
                <m:sty m:val="p"/>
              </m:rPr>
              <m:t>event</m:t>
            </m:r>
          </m:sub>
        </m:sSub>
        <m:d>
          <m:dPr>
            <m:sepChr m:val=""/>
          </m:dPr>
          <m:e>
            <m:sSubSup>
              <m:e>
                <m:r>
                  <m:t>S</m:t>
                </m:r>
              </m:e>
              <m:sub>
                <m:r>
                  <m:t>b</m:t>
                </m:r>
              </m:sub>
              <m:sup>
                <m:r>
                  <m:t>w</m:t>
                </m:r>
              </m:sup>
            </m:sSubSup>
            <m:r>
              <m:t>,</m:t>
            </m:r>
            <m:sSubSup>
              <m:e>
                <m:r>
                  <m:t>S</m:t>
                </m:r>
              </m:e>
              <m:sub>
                <m:r>
                  <m:t>b</m:t>
                </m:r>
              </m:sub>
              <m:sup>
                <m:r>
                  <m:t>o</m:t>
                </m:r>
              </m:sup>
            </m:sSubSup>
            <m:r>
              <m:t>,</m:t>
            </m:r>
            <m:r>
              <m:t>{</m:t>
            </m:r>
            <m:sSub>
              <m:e>
                <m:r>
                  <m:t>Π</m:t>
                </m:r>
              </m:e>
              <m:sub>
                <m:r>
                  <m:t>b,s,q</m:t>
                </m:r>
              </m:sub>
            </m:sSub>
            <m:sSubSup>
              <m:e>
                <m:r>
                  <m:t>}</m:t>
                </m:r>
              </m:e>
              <m:sub>
                <m:r>
                  <m:t>q=1</m:t>
                </m:r>
              </m:sub>
              <m:sup>
                <m:r>
                  <m:t>G</m:t>
                </m:r>
              </m:sup>
            </m:sSubSup>
          </m:e>
        </m:d>
        <m:r>
          <m:t>.</m:t>
        </m:r>
      </m:oMath>
    </w:p>
    <w:p>
      <w:pPr>
        <w:ind w:firstLine="446"/>
      </w:pPr>
      <w:r>
        <w:rPr>
          <w:rFonts w:ascii="Microsoft YaHei" w:hAnsi="Microsoft YaHei" w:eastAsia="Microsoft YaHei" w:cs="Microsoft YaHei"/>
          <w:b w:val="0"/>
          <w:i w:val="0"/>
          <w:sz w:val="22"/>
        </w:rPr>
        <w:t>加入阶段嵌入后，所有阶段 token 进入共享事件编码器，再由 hazard 头与事件门读取：</w:t>
      </w:r>
    </w:p>
    <w:p>
      <w:pPr>
        <w:pStyle w:val="Formula"/>
        <w:keepLines/>
        <w:ind w:firstLine="0"/>
        <w:jc w:val="center"/>
      </w:pPr>
      <m:oMath>
        <m:sSub>
          <m:e>
            <m:r>
              <m:t>z</m:t>
            </m:r>
          </m:e>
          <m:sub>
            <m:r>
              <m:t>b,1:S</m:t>
            </m:r>
          </m:sub>
        </m:sSub>
        <m:r>
          <m:t>=Norm</m:t>
        </m:r>
        <m:d>
          <m:dPr>
            <m:sepChr m:val=""/>
          </m:dPr>
          <m:e>
            <m:r>
              <m:t>Transformer</m:t>
            </m:r>
            <m:r>
              <m:t>(</m:t>
            </m:r>
            <m:sSub>
              <m:e>
                <m:r>
                  <m:t>h</m:t>
                </m:r>
              </m:e>
              <m:sub>
                <m:r>
                  <m:t>b,1:S</m:t>
                </m:r>
              </m:sub>
            </m:sSub>
            <m:r>
              <m:t>+</m:t>
            </m:r>
            <m:sSub>
              <m:e>
                <m:r>
                  <m:t>e</m:t>
                </m:r>
              </m:e>
              <m:sub>
                <m:r>
                  <m:t>1:S</m:t>
                </m:r>
              </m:sub>
            </m:sSub>
            <m:r>
              <m:t>)</m:t>
            </m:r>
          </m:e>
        </m:d>
        <m:r>
          <m:t>,</m:t>
        </m:r>
      </m:oMath>
    </w:p>
    <w:p>
      <w:pPr>
        <w:pStyle w:val="Formula"/>
        <w:keepLines/>
        <w:ind w:firstLine="0"/>
        <w:jc w:val="center"/>
      </w:pPr>
      <m:oMath>
        <m:sSub>
          <m:e>
            <m:r>
              <m:t>ℓ</m:t>
            </m:r>
          </m:e>
          <m:sub>
            <m:r>
              <m:t>b,s,c</m:t>
            </m:r>
          </m:sub>
        </m:sSub>
        <m:r>
          <m:t>=</m:t>
        </m:r>
        <m:sSub>
          <m:e>
            <m:r>
              <m:t>W</m:t>
            </m:r>
          </m:e>
          <m:sub>
            <m:r>
              <m:t>h</m:t>
            </m:r>
          </m:sub>
        </m:sSub>
        <m:r>
          <m:t>(</m:t>
        </m:r>
        <m:sSub>
          <m:e>
            <m:r>
              <m:t>z</m:t>
            </m:r>
          </m:e>
          <m:sub>
            <m:r>
              <m:t>b,s</m:t>
            </m:r>
          </m:sub>
        </m:sSub>
        <m:sSub>
          <m:e>
            <m:r>
              <m:t>)</m:t>
            </m:r>
          </m:e>
          <m:sub>
            <m:r>
              <m:t>c</m:t>
            </m:r>
          </m:sub>
        </m:sSub>
        <m:r>
          <m:t>,</m:t>
        </m:r>
        <m:sSub>
          <m:e>
            <m:r>
              <m:t>a</m:t>
            </m:r>
          </m:e>
          <m:sub>
            <m:r>
              <m:t>b,s</m:t>
            </m:r>
          </m:sub>
        </m:sSub>
        <m:r>
          <m:t>=</m:t>
        </m:r>
        <m:sSub>
          <m:e>
            <m:r>
              <m:t>softmax</m:t>
            </m:r>
          </m:e>
          <m:sub>
            <m:r>
              <m:t>s</m:t>
            </m:r>
          </m:sub>
        </m:sSub>
        <m:r>
          <m:t>(</m:t>
        </m:r>
        <m:sSub>
          <m:e>
            <m:r>
              <m:t>W</m:t>
            </m:r>
          </m:e>
          <m:sub>
            <m:r>
              <m:t>g</m:t>
            </m:r>
          </m:sub>
        </m:sSub>
        <m:r>
          <m:t>(</m:t>
        </m:r>
        <m:sSub>
          <m:e>
            <m:r>
              <m:t>z</m:t>
            </m:r>
          </m:e>
          <m:sub>
            <m:r>
              <m:t>b,s</m:t>
            </m:r>
          </m:sub>
        </m:sSub>
        <m:r>
          <m:t>)),</m:t>
        </m:r>
        <m:sSub>
          <m:e>
            <m:r>
              <m:t>logit</m:t>
            </m:r>
          </m:e>
          <m:sub>
            <m:r>
              <m:t>b,c</m:t>
            </m:r>
          </m:sub>
        </m:sSub>
        <m:r>
          <m:t>=</m:t>
        </m:r>
        <m:nary>
          <m:naryPr>
            <m:chr m:val="∑"/>
            <m:limLoc m:val="subSup"/>
            <m:grow m:val="1"/>
            <m:subHide m:val="off"/>
            <m:supHide m:val="off"/>
          </m:naryPr>
          <m:sub>
            <m:r>
              <m:t>s=1</m:t>
            </m:r>
          </m:sub>
          <m:sup>
            <m:r>
              <m:t>S</m:t>
            </m:r>
          </m:sup>
          <m:e>
            <m:sSub>
              <m:e>
                <m:r>
                  <m:t>a</m:t>
                </m:r>
              </m:e>
              <m:sub>
                <m:r>
                  <m:t>b,s</m:t>
                </m:r>
              </m:sub>
            </m:sSub>
          </m:e>
        </m:nary>
        <m:sSub>
          <m:e>
            <m:r>
              <m:t>ℓ</m:t>
            </m:r>
          </m:e>
          <m:sub>
            <m:r>
              <m:t>b,s,c</m:t>
            </m:r>
          </m:sub>
        </m:sSub>
        <m:r>
          <m:t>.</m:t>
        </m:r>
      </m:oMath>
    </w:p>
    <w:p>
      <w:pPr>
        <w:ind w:firstLine="446"/>
      </w:pPr>
      <w:r>
        <w:rPr>
          <w:rFonts w:ascii="Microsoft YaHei" w:hAnsi="Microsoft YaHei" w:eastAsia="Microsoft YaHei" w:cs="Microsoft YaHei"/>
          <w:b w:val="0"/>
          <w:i w:val="0"/>
          <w:sz w:val="22"/>
        </w:rPr>
        <w:t xml:space="preserve">由此得到离散时间 hazard 与标量风险。该读取路径明确依赖重新求解的计划，但它还包含多几何融合、事件编码和事件门控，因此本文不宣称单条运输边对最终 logit 具有精确加性归因，也不把 </w:t>
      </w:r>
      <m:oMath>
        <m:r>
          <m:t>∂logit/∂Π</m:t>
        </m:r>
      </m:oMath>
      <w:r>
        <w:rPr>
          <w:rFonts w:ascii="Microsoft YaHei" w:hAnsi="Microsoft YaHei" w:eastAsia="Microsoft YaHei" w:cs="Microsoft YaHei"/>
          <w:b w:val="0"/>
          <w:i w:val="0"/>
          <w:sz w:val="22"/>
        </w:rPr>
        <w:t xml:space="preserve"> 等同于固定边值。DCT 审计的是整条“代价—计划—风险”路径在受控干预下的可重复响应，而不是事后分解每条边的独立因果贡献。</w:t>
      </w:r>
    </w:p>
    <w:p>
      <w:pPr>
        <w:pStyle w:val="Heading2"/>
        <w:keepNext/>
        <w:ind w:firstLine="0"/>
      </w:pPr>
      <w:r>
        <w:rPr>
          <w:rFonts w:ascii="Microsoft YaHei" w:hAnsi="Microsoft YaHei" w:eastAsia="Microsoft YaHei" w:cs="Microsoft YaHei"/>
          <w:b/>
          <w:i w:val="0"/>
          <w:color w:val="2E74B5"/>
          <w:sz w:val="26"/>
        </w:rPr>
        <w:t>3.8  冻结配方（类不变式）</w:t>
      </w:r>
    </w:p>
    <w:p>
      <w:pPr>
        <w:ind w:firstLine="446"/>
      </w:pPr>
      <w:r>
        <w:rPr>
          <w:rFonts w:ascii="Microsoft YaHei" w:hAnsi="Microsoft YaHei" w:eastAsia="Microsoft YaHei" w:cs="Microsoft YaHei"/>
          <w:b w:val="0"/>
          <w:i w:val="0"/>
          <w:sz w:val="22"/>
        </w:rPr>
        <w:t xml:space="preserve">为了把最终主张严格归因于方向约束，所有缺乏单项证据的辅助目标都被冻结。DCT-Reg 在父类初始化前写入固定参数，并在初始化后再次锁定论文目标：IPCW 排序权重为 </w:t>
      </w:r>
      <m:oMath>
        <m:r>
          <m:t>0.10</m:t>
        </m:r>
      </m:oMath>
      <w:r>
        <w:rPr>
          <w:rFonts w:ascii="Microsoft YaHei" w:hAnsi="Microsoft YaHei" w:eastAsia="Microsoft YaHei" w:cs="Microsoft YaHei"/>
          <w:b w:val="0"/>
          <w:i w:val="0"/>
          <w:sz w:val="22"/>
        </w:rPr>
        <w:t xml:space="preserve">，方向损失权重为 </w:t>
      </w:r>
      <m:oMath>
        <m:r>
          <m:t>0.05</m:t>
        </m:r>
      </m:oMath>
      <w:r>
        <w:rPr>
          <w:rFonts w:ascii="Microsoft YaHei" w:hAnsi="Microsoft YaHei" w:eastAsia="Microsoft YaHei" w:cs="Microsoft YaHei"/>
          <w:b w:val="0"/>
          <w:i w:val="0"/>
          <w:sz w:val="22"/>
        </w:rPr>
        <w:t>；剂量、重构、MGPTR、ETAR、列表式目标及自适应辅助权重均被禁用，方向项不设 warmup 或 ramp。相应的类不变量可写为</w:t>
      </w:r>
    </w:p>
    <w:p>
      <w:pPr>
        <w:pStyle w:val="Formula"/>
        <w:keepLines/>
        <w:ind w:firstLine="0"/>
        <w:jc w:val="center"/>
      </w:pPr>
      <m:oMath>
        <m:borderBox>
          <m:e>
            <m:sSub>
              <m:e>
                <m:r>
                  <m:t>λ</m:t>
                </m:r>
              </m:e>
              <m:sub>
                <m:r>
                  <m:rPr>
                    <m:sty m:val="p"/>
                  </m:rPr>
                  <m:t>dose</m:t>
                </m:r>
              </m:sub>
            </m:sSub>
            <m:r>
              <m:t>=</m:t>
            </m:r>
            <m:sSub>
              <m:e>
                <m:r>
                  <m:t>λ</m:t>
                </m:r>
              </m:e>
              <m:sub>
                <m:r>
                  <m:rPr>
                    <m:sty m:val="p"/>
                  </m:rPr>
                  <m:t>reconfig</m:t>
                </m:r>
              </m:sub>
            </m:sSub>
            <m:r>
              <m:t>=</m:t>
            </m:r>
            <m:sSub>
              <m:e>
                <m:r>
                  <m:t>λ</m:t>
                </m:r>
              </m:e>
              <m:sub>
                <m:r>
                  <m:rPr>
                    <m:sty m:val="p"/>
                  </m:rPr>
                  <m:t>MGPTR</m:t>
                </m:r>
              </m:sub>
            </m:sSub>
            <m:r>
              <m:t>=</m:t>
            </m:r>
            <m:sSub>
              <m:e>
                <m:r>
                  <m:t>λ</m:t>
                </m:r>
              </m:e>
              <m:sub>
                <m:r>
                  <m:rPr>
                    <m:sty m:val="p"/>
                  </m:rPr>
                  <m:t>ETAR</m:t>
                </m:r>
              </m:sub>
            </m:sSub>
            <m:r>
              <m:t>=</m:t>
            </m:r>
            <m:sSub>
              <m:e>
                <m:r>
                  <m:t>λ</m:t>
                </m:r>
              </m:e>
              <m:sub>
                <m:r>
                  <m:rPr>
                    <m:sty m:val="p"/>
                  </m:rPr>
                  <m:t>listwise</m:t>
                </m:r>
              </m:sub>
            </m:sSub>
            <m:r>
              <m:t>=0,</m:t>
            </m:r>
            <m:r>
              <m:rPr>
                <m:sty m:val="p"/>
              </m:rPr>
              <m:t>adaptive_aux_weights</m:t>
            </m:r>
            <m:r>
              <m:t>=</m:t>
            </m:r>
            <m:r>
              <m:rPr>
                <m:sty m:val="p"/>
              </m:rPr>
              <m:t>False</m:t>
            </m:r>
            <m:r>
              <m:t>.</m:t>
            </m:r>
          </m:e>
        </m:borderBox>
      </m:oMath>
    </w:p>
    <w:p>
      <w:pPr>
        <w:ind w:firstLine="446"/>
      </w:pPr>
      <w:r>
        <w:rPr>
          <w:rFonts w:ascii="Microsoft YaHei" w:hAnsi="Microsoft YaHei" w:eastAsia="Microsoft YaHei" w:cs="Microsoft YaHei"/>
          <w:b w:val="0"/>
          <w:i w:val="0"/>
          <w:sz w:val="22"/>
        </w:rPr>
        <w:t>因此，冻结总目标只有</w:t>
      </w:r>
    </w:p>
    <w:p>
      <w:pPr>
        <w:pStyle w:val="Formula"/>
        <w:keepLines/>
        <w:ind w:firstLine="0"/>
        <w:jc w:val="center"/>
      </w:pPr>
      <m:oMath>
        <m:r>
          <m:rPr>
            <m:scr m:val="script"/>
          </m:rPr>
          <m:t>L</m:t>
        </m:r>
        <m:r>
          <m:t>=</m:t>
        </m:r>
        <m:sSub>
          <m:e>
            <m:r>
              <m:rPr>
                <m:scr m:val="script"/>
              </m:rPr>
              <m:t>L</m:t>
            </m:r>
          </m:e>
          <m:sub>
            <m:r>
              <m:rPr>
                <m:sty m:val="p"/>
              </m:rPr>
              <m:t>NLL</m:t>
            </m:r>
            <m:r>
              <m:t>−</m:t>
            </m:r>
            <m:r>
              <m:rPr>
                <m:sty m:val="p"/>
              </m:rPr>
              <m:t>surv</m:t>
            </m:r>
          </m:sub>
        </m:sSub>
        <m:r>
          <m:t>+0.10</m:t>
        </m:r>
        <m:sSubSup>
          <m:e>
            <m:r>
              <m:rPr>
                <m:scr m:val="script"/>
              </m:rPr>
              <m:t>L</m:t>
            </m:r>
          </m:e>
          <m:sub>
            <m:r>
              <m:rPr>
                <m:sty m:val="p"/>
              </m:rPr>
              <m:t>rank</m:t>
            </m:r>
          </m:sub>
          <m:sup>
            <m:r>
              <m:rPr>
                <m:sty m:val="p"/>
              </m:rPr>
              <m:t>IPCW</m:t>
            </m:r>
          </m:sup>
        </m:sSubSup>
        <m:r>
          <m:t>+0.05</m:t>
        </m:r>
        <m:sSub>
          <m:e>
            <m:r>
              <m:rPr>
                <m:scr m:val="script"/>
              </m:rPr>
              <m:t>L</m:t>
            </m:r>
          </m:e>
          <m:sub>
            <m:r>
              <m:rPr>
                <m:sty m:val="p"/>
              </m:rPr>
              <m:t>dir</m:t>
            </m:r>
          </m:sub>
        </m:sSub>
        <m:r>
          <m:t>.</m:t>
        </m:r>
      </m:oMath>
    </w:p>
    <w:p>
      <w:pPr>
        <w:ind w:firstLine="446"/>
      </w:pPr>
      <w:r>
        <w:rPr>
          <w:rFonts w:ascii="Microsoft YaHei" w:hAnsi="Microsoft YaHei" w:eastAsia="Microsoft YaHei" w:cs="Microsoft YaHei"/>
          <w:b w:val="0"/>
          <w:i w:val="0"/>
          <w:sz w:val="22"/>
        </w:rPr>
        <w:t>其中，</w:t>
      </w:r>
      <m:oMath>
        <m:sSubSup>
          <m:e>
            <m:r>
              <m:rPr>
                <m:scr m:val="script"/>
              </m:rPr>
              <m:t>L</m:t>
            </m:r>
          </m:e>
          <m:sub>
            <m:r>
              <m:rPr>
                <m:sty m:val="p"/>
              </m:rPr>
              <m:t>rank</m:t>
            </m:r>
          </m:sub>
          <m:sup>
            <m:r>
              <m:rPr>
                <m:sty m:val="p"/>
              </m:rPr>
              <m:t>IPCW</m:t>
            </m:r>
          </m:sup>
        </m:sSubSup>
      </m:oMath>
      <w:r>
        <w:rPr>
          <w:rFonts w:ascii="Microsoft YaHei" w:hAnsi="Microsoft YaHei" w:eastAsia="Microsoft YaHei" w:cs="Microsoft YaHei"/>
          <w:b w:val="0"/>
          <w:i w:val="0"/>
          <w:sz w:val="22"/>
        </w:rPr>
        <w:t xml:space="preserve"> 是作用于同一标量风险的平滑 Uno 风格成对排序目标；64 例同 epoch 历史记忆只扩充可比较样本对，不构成额外优化项。证据代价权重与几何可靠性重加权同样固定为零，证据门仅保留在边际构造中。</w:t>
      </w:r>
    </w:p>
    <w:tbl>
      <w:tblPr>
        <w:tblStyle w:val="TableGrid"/>
        <w:tblW w:type="dxa" w:w="9360"/>
        <w:tblLayout w:type="fixed"/>
        <w:tblLook w:firstColumn="1" w:firstRow="1" w:lastColumn="0" w:lastRow="0" w:noHBand="0" w:noVBand="1" w:val="04A0"/>
        <w:tblInd w:w="120" w:type="dxa"/>
        <w:tblBorders>
          <w:top w:val="single" w:sz="5" w:space="0" w:color="7A5A00"/>
          <w:left w:val="single" w:sz="5" w:space="0" w:color="7A5A00"/>
          <w:bottom w:val="single" w:sz="5" w:space="0" w:color="7A5A00"/>
          <w:right w:val="single" w:sz="5" w:space="0" w:color="7A5A00"/>
          <w:insideH w:val="single" w:sz="5" w:space="0" w:color="7A5A00"/>
          <w:insideV w:val="single" w:sz="5" w:space="0" w:color="7A5A00"/>
        </w:tblBorders>
      </w:tblPr>
      <w:tblGrid>
        <w:gridCol w:w="9360"/>
      </w:tblGrid>
      <w:tr>
        <w:trPr>
          <w:cantSplit/>
        </w:trPr>
        <w:tc>
          <w:tcPr>
            <w:tcW w:type="dxa" w:w="9360"/>
            <w:tcMar>
              <w:top w:w="80" w:type="dxa"/>
              <w:start w:w="120" w:type="dxa"/>
              <w:bottom w:w="80" w:type="dxa"/>
              <w:end w:w="120" w:type="dxa"/>
            </w:tcMar>
            <w:vAlign w:val="center"/>
            <w:shd w:fill="FFF4CC" w:val="clear"/>
            <w:tcBorders>
              <w:top w:val="single" w:sz="7" w:space="0" w:color="7A5A00"/>
              <w:left w:val="single" w:sz="7" w:space="0" w:color="7A5A00"/>
              <w:bottom w:val="single" w:sz="7" w:space="0" w:color="7A5A00"/>
              <w:right w:val="single" w:sz="7" w:space="0" w:color="7A5A00"/>
            </w:tcBorders>
          </w:tcPr>
          <w:p>
            <w:pPr>
              <w:spacing w:before="20" w:after="20" w:line="283" w:lineRule="auto"/>
              <w:ind w:firstLine="0"/>
            </w:pPr>
            <w:r>
              <w:rPr>
                <w:rFonts w:ascii="Microsoft YaHei" w:hAnsi="Microsoft YaHei" w:eastAsia="Microsoft YaHei" w:cs="Microsoft YaHei"/>
                <w:b/>
                <w:i w:val="0"/>
                <w:color w:val="7A5A00"/>
                <w:sz w:val="18"/>
              </w:rPr>
              <w:t>IPCW 阶数排序说明（v4.1 修订）</w:t>
            </w:r>
          </w:p>
          <w:p>
            <w:pPr>
              <w:spacing w:before="20" w:after="20" w:line="283" w:lineRule="auto"/>
              <w:ind w:firstLine="0"/>
            </w:pPr>
            <w:r>
              <w:rPr>
                <w:rFonts w:ascii="Microsoft YaHei" w:hAnsi="Microsoft YaHei" w:eastAsia="Microsoft YaHei" w:cs="Microsoft YaHei"/>
                <w:i w:val="0"/>
                <w:color w:val="7A5A00"/>
                <w:sz w:val="18"/>
              </w:rPr>
              <w:t>§3.8 排序损失采用二阶 IPCW（Uno 风格 concordant 排序）：wi ∝ Ĝ(ti)−2，其中 ti 为可比较对中较短的时间，并以 dct_ipcw_max_weight=10.0 裁剪单点上限，避免深度删失侧的极端响应。该权重作用于 §3.7 中的标量风险 r_b，与 §3.5 风险锚点所用的一阶 IPCW（Ĝ−1）不同：前者用于批内加权均值并以 EMA 累积，后者用于成对 concordant 比较。本文把两者阶数分开写出，避免读者把方向锚点强度误推为排序权重。</w:t>
            </w:r>
          </w:p>
        </w:tc>
      </w:tr>
    </w:tbl>
    <w:p>
      <w:pPr>
        <w:pStyle w:val="Heading2"/>
        <w:keepNext/>
        <w:ind w:firstLine="0"/>
      </w:pPr>
      <w:r>
        <w:rPr>
          <w:rFonts w:ascii="Microsoft YaHei" w:hAnsi="Microsoft YaHei" w:eastAsia="Microsoft YaHei" w:cs="Microsoft YaHei"/>
          <w:b/>
          <w:i w:val="0"/>
          <w:color w:val="2E74B5"/>
          <w:sz w:val="26"/>
        </w:rPr>
        <w:t>3.9  传输预后活性的审计指标</w:t>
      </w:r>
    </w:p>
    <w:p>
      <w:pPr>
        <w:ind w:firstLine="446"/>
      </w:pPr>
      <w:r>
        <w:rPr>
          <w:rFonts w:ascii="Microsoft YaHei" w:hAnsi="Microsoft YaHei" w:eastAsia="Microsoft YaHei" w:cs="Microsoft YaHei"/>
          <w:b w:val="0"/>
          <w:i w:val="0"/>
          <w:sz w:val="22"/>
        </w:rPr>
        <w:t>训练目标建立了端点方向约束，评估阶段还需要把该约束转化为患者级、可证伪的审计量。所有指标都在测试折预测上计算；测试结局只用于评价分组，不回流到模型训练、时间分箱或锚点估计。</w:t>
      </w:r>
    </w:p>
    <w:p>
      <w:pPr>
        <w:ind w:firstLine="446"/>
      </w:pPr>
      <w:r>
        <w:rPr>
          <w:rFonts w:ascii="Microsoft YaHei" w:hAnsi="Microsoft YaHei" w:eastAsia="Microsoft YaHei" w:cs="Microsoft YaHei"/>
          <w:b/>
          <w:i w:val="0"/>
          <w:sz w:val="22"/>
        </w:rPr>
        <w:t>方向一致率（DCR）。</w:t>
      </w:r>
      <w:r>
        <w:rPr>
          <w:rFonts w:ascii="Microsoft YaHei" w:hAnsi="Microsoft YaHei" w:eastAsia="Microsoft YaHei" w:cs="Microsoft YaHei"/>
          <w:b w:val="0"/>
          <w:i w:val="0"/>
          <w:sz w:val="22"/>
        </w:rPr>
        <w:t xml:space="preserve"> 令 </w:t>
      </w:r>
      <m:oMath>
        <m:sSub>
          <m:e>
            <m:r>
              <m:t>q</m:t>
            </m:r>
          </m:e>
          <m:sub>
            <m:r>
              <m:t>0.4</m:t>
            </m:r>
          </m:sub>
        </m:sSub>
      </m:oMath>
      <w:r>
        <w:rPr>
          <w:rFonts w:ascii="Microsoft YaHei" w:hAnsi="Microsoft YaHei" w:eastAsia="Microsoft YaHei" w:cs="Microsoft YaHei"/>
          <w:b w:val="0"/>
          <w:i w:val="0"/>
          <w:sz w:val="22"/>
        </w:rPr>
        <w:t xml:space="preserve"> 与 </w:t>
      </w:r>
      <m:oMath>
        <m:sSub>
          <m:e>
            <m:r>
              <m:t>q</m:t>
            </m:r>
          </m:e>
          <m:sub>
            <m:r>
              <m:t>0.6</m:t>
            </m:r>
          </m:sub>
        </m:sSub>
      </m:oMath>
      <w:r>
        <w:rPr>
          <w:rFonts w:ascii="Microsoft YaHei" w:hAnsi="Microsoft YaHei" w:eastAsia="Microsoft YaHei" w:cs="Microsoft YaHei"/>
          <w:b w:val="0"/>
          <w:i w:val="0"/>
          <w:sz w:val="22"/>
        </w:rPr>
        <w:t xml:space="preserve"> 为测试折观测事件时间的第 40% 与第 60% 分位，则</w:t>
      </w:r>
    </w:p>
    <w:p>
      <w:pPr>
        <w:pStyle w:val="Formula"/>
        <w:keepLines/>
        <w:ind w:firstLine="0"/>
        <w:jc w:val="center"/>
      </w:pPr>
      <m:oMath>
        <m:r>
          <m:rPr>
            <m:scr m:val="script"/>
          </m:rPr>
          <m:t>H</m:t>
        </m:r>
        <m:r>
          <m:t>={b:</m:t>
        </m:r>
        <m:sSub>
          <m:e>
            <m:r>
              <m:t>δ</m:t>
            </m:r>
          </m:e>
          <m:sub>
            <m:r>
              <m:t>b</m:t>
            </m:r>
          </m:sub>
        </m:sSub>
        <m:r>
          <m:t>=1,</m:t>
        </m:r>
        <m:r>
          <m:rPr>
            <m:sty m:val="p"/>
          </m:rPr>
          <m:t> </m:t>
        </m:r>
        <m:sSub>
          <m:e>
            <m:r>
              <m:t>T</m:t>
            </m:r>
          </m:e>
          <m:sub>
            <m:r>
              <m:t>b</m:t>
            </m:r>
          </m:sub>
        </m:sSub>
        <m:r>
          <m:t>≤</m:t>
        </m:r>
        <m:sSub>
          <m:e>
            <m:r>
              <m:t>q</m:t>
            </m:r>
          </m:e>
          <m:sub>
            <m:r>
              <m:t>0.4</m:t>
            </m:r>
          </m:sub>
        </m:sSub>
        <m:r>
          <m:t>},</m:t>
        </m:r>
        <m:r>
          <m:rPr>
            <m:scr m:val="script"/>
          </m:rPr>
          <m:t>L</m:t>
        </m:r>
        <m:r>
          <m:t>={b:</m:t>
        </m:r>
        <m:sSub>
          <m:e>
            <m:r>
              <m:t>T</m:t>
            </m:r>
          </m:e>
          <m:sub>
            <m:r>
              <m:t>b</m:t>
            </m:r>
          </m:sub>
        </m:sSub>
        <m:r>
          <m:t>&gt;</m:t>
        </m:r>
        <m:sSub>
          <m:e>
            <m:r>
              <m:t>q</m:t>
            </m:r>
          </m:e>
          <m:sub>
            <m:r>
              <m:t>0.6</m:t>
            </m:r>
          </m:sub>
        </m:sSub>
        <m:r>
          <m:t>}∪{b:</m:t>
        </m:r>
        <m:sSub>
          <m:e>
            <m:r>
              <m:t>δ</m:t>
            </m:r>
          </m:e>
          <m:sub>
            <m:r>
              <m:t>b</m:t>
            </m:r>
          </m:sub>
        </m:sSub>
        <m:r>
          <m:t>=0,</m:t>
        </m:r>
        <m:r>
          <m:rPr>
            <m:sty m:val="p"/>
          </m:rPr>
          <m:t> </m:t>
        </m:r>
        <m:sSub>
          <m:e>
            <m:r>
              <m:t>T</m:t>
            </m:r>
          </m:e>
          <m:sub>
            <m:r>
              <m:t>b</m:t>
            </m:r>
          </m:sub>
        </m:sSub>
        <m:r>
          <m:t>=</m:t>
        </m:r>
        <m:sSub>
          <m:e>
            <m:r>
              <m:t>q</m:t>
            </m:r>
          </m:e>
          <m:sub>
            <m:r>
              <m:t>0.6</m:t>
            </m:r>
          </m:sub>
        </m:sSub>
        <m:r>
          <m:t>}.</m:t>
        </m:r>
      </m:oMath>
    </w:p>
    <w:p>
      <w:pPr>
        <w:ind w:firstLine="446"/>
      </w:pPr>
      <w:r>
        <w:rPr>
          <w:rFonts w:ascii="Microsoft YaHei" w:hAnsi="Microsoft YaHei" w:eastAsia="Microsoft YaHei" w:cs="Microsoft YaHei"/>
          <w:b w:val="0"/>
          <w:i w:val="0"/>
          <w:sz w:val="22"/>
        </w:rPr>
        <w:t>因此，早期删失病例不会进入高风险标记组；生存超过上界或恰在上界删失者进入低风险标记组。DCR 对两组病例合并计数，而不是先算两个比例再取算术平均：</w:t>
      </w:r>
    </w:p>
    <w:p>
      <w:pPr>
        <w:pStyle w:val="Formula"/>
        <w:keepLines/>
        <w:ind w:firstLine="0"/>
        <w:jc w:val="center"/>
      </w:pPr>
      <m:oMath>
        <m:r>
          <m:rPr>
            <m:sty m:val="p"/>
          </m:rPr>
          <m:t>DCR</m:t>
        </m:r>
        <m:r>
          <m:t>=</m:t>
        </m:r>
        <m:f>
          <m:fPr>
            <m:type m:val="bar"/>
          </m:fPr>
          <m:num>
            <m:nary>
              <m:naryPr>
                <m:chr m:val="∑"/>
                <m:limLoc m:val="subSup"/>
                <m:grow m:val="1"/>
                <m:subHide m:val="off"/>
                <m:supHide m:val="on"/>
              </m:naryPr>
              <m:sub>
                <m:r>
                  <m:t>b∈</m:t>
                </m:r>
                <m:r>
                  <m:rPr>
                    <m:scr m:val="script"/>
                  </m:rPr>
                  <m:t>H</m:t>
                </m:r>
              </m:sub>
              <m:sup/>
              <m:e>
                <m:r>
                  <m:rPr>
                    <m:sty m:val="b"/>
                  </m:rPr>
                  <m:t>1</m:t>
                </m:r>
                <m:r>
                  <m:t>[</m:t>
                </m:r>
              </m:e>
            </m:nary>
            <m:sSubSup>
              <m:e>
                <m:r>
                  <m:t>r</m:t>
                </m:r>
              </m:e>
              <m:sub>
                <m:r>
                  <m:t>1,b</m:t>
                </m:r>
              </m:sub>
              <m:sup>
                <m:r>
                  <m:t>H</m:t>
                </m:r>
              </m:sup>
            </m:sSubSup>
            <m:r>
              <m:t>−</m:t>
            </m:r>
            <m:sSubSup>
              <m:e>
                <m:r>
                  <m:t>r</m:t>
                </m:r>
              </m:e>
              <m:sub>
                <m:r>
                  <m:t>b</m:t>
                </m:r>
              </m:sub>
              <m:sup>
                <m:r>
                  <m:t>0</m:t>
                </m:r>
              </m:sup>
            </m:sSubSup>
            <m:r>
              <m:t>&gt;0]+</m:t>
            </m:r>
            <m:nary>
              <m:naryPr>
                <m:chr m:val="∑"/>
                <m:limLoc m:val="subSup"/>
                <m:grow m:val="1"/>
                <m:subHide m:val="off"/>
                <m:supHide m:val="on"/>
              </m:naryPr>
              <m:sub>
                <m:r>
                  <m:t>b∈</m:t>
                </m:r>
                <m:r>
                  <m:rPr>
                    <m:scr m:val="script"/>
                  </m:rPr>
                  <m:t>L</m:t>
                </m:r>
              </m:sub>
              <m:sup/>
              <m:e>
                <m:r>
                  <m:rPr>
                    <m:sty m:val="b"/>
                  </m:rPr>
                  <m:t>1</m:t>
                </m:r>
                <m:r>
                  <m:t>[</m:t>
                </m:r>
              </m:e>
            </m:nary>
            <m:sSubSup>
              <m:e>
                <m:r>
                  <m:t>r</m:t>
                </m:r>
              </m:e>
              <m:sub>
                <m:r>
                  <m:t>1,b</m:t>
                </m:r>
              </m:sub>
              <m:sup>
                <m:r>
                  <m:t>L</m:t>
                </m:r>
              </m:sup>
            </m:sSubSup>
            <m:r>
              <m:t>−</m:t>
            </m:r>
            <m:sSubSup>
              <m:e>
                <m:r>
                  <m:t>r</m:t>
                </m:r>
              </m:e>
              <m:sub>
                <m:r>
                  <m:t>b</m:t>
                </m:r>
              </m:sub>
              <m:sup>
                <m:r>
                  <m:t>0</m:t>
                </m:r>
              </m:sup>
            </m:sSubSup>
            <m:r>
              <m:t>&lt;0]</m:t>
            </m:r>
          </m:num>
          <m:den>
            <m:d>
              <m:dPr>
                <m:begChr m:val="|"/>
                <m:sepChr m:val=""/>
                <m:endChr m:val="|"/>
              </m:dPr>
              <m:e>
                <m:r>
                  <m:rPr>
                    <m:scr m:val="script"/>
                  </m:rPr>
                  <m:t>H</m:t>
                </m:r>
                <m:r>
                  <m:t>|</m:t>
                </m:r>
                <m:r>
                  <m:t>+</m:t>
                </m:r>
                <m:r>
                  <m:t>|</m:t>
                </m:r>
                <m:r>
                  <m:rPr>
                    <m:scr m:val="script"/>
                  </m:rPr>
                  <m:t>L</m:t>
                </m:r>
              </m:e>
            </m:d>
          </m:den>
        </m:f>
        <m:r>
          <m:t>.</m:t>
        </m:r>
      </m:oMath>
    </w:p>
    <w:p>
      <w:pPr>
        <w:ind w:firstLine="446"/>
      </w:pPr>
      <w:r>
        <w:rPr>
          <w:rFonts w:ascii="Microsoft YaHei" w:hAnsi="Microsoft YaHei" w:eastAsia="Microsoft YaHei" w:cs="Microsoft YaHei"/>
          <w:b w:val="0"/>
          <w:i w:val="0"/>
          <w:sz w:val="22"/>
        </w:rPr>
        <w:t xml:space="preserve">在响应符号随机且两侧机会对称时，其参照水平为 </w:t>
      </w:r>
      <m:oMath>
        <m:r>
          <m:t>0.5</m:t>
        </m:r>
      </m:oMath>
      <w:r>
        <w:rPr>
          <w:rFonts w:ascii="Microsoft YaHei" w:hAnsi="Microsoft YaHei" w:eastAsia="Microsoft YaHei" w:cs="Microsoft YaHei"/>
          <w:b w:val="0"/>
          <w:i w:val="0"/>
          <w:sz w:val="22"/>
        </w:rPr>
        <w:t>。DCR 只检查端点方向，不衡量变化幅度。</w:t>
      </w:r>
    </w:p>
    <w:p>
      <w:pPr>
        <w:ind w:firstLine="446"/>
      </w:pPr>
      <w:r>
        <w:rPr>
          <w:rFonts w:ascii="Microsoft YaHei" w:hAnsi="Microsoft YaHei" w:eastAsia="Microsoft YaHei" w:cs="Microsoft YaHei"/>
          <w:b/>
          <w:i w:val="0"/>
          <w:sz w:val="22"/>
        </w:rPr>
        <w:t>剂量单调率（DMR）。</w:t>
      </w:r>
      <w:r>
        <w:rPr>
          <w:rFonts w:ascii="Microsoft YaHei" w:hAnsi="Microsoft YaHei" w:eastAsia="Microsoft YaHei" w:cs="Microsoft YaHei"/>
          <w:b w:val="0"/>
          <w:i w:val="0"/>
          <w:sz w:val="22"/>
        </w:rPr>
        <w:t xml:space="preserve"> 当前预注册实现沿高风险路径计算 </w:t>
      </w:r>
      <m:oMath>
        <m:r>
          <m:t>α∈{0,0.25,0.5,0.75,1}</m:t>
        </m:r>
      </m:oMath>
      <w:r>
        <w:rPr>
          <w:rFonts w:ascii="Microsoft YaHei" w:hAnsi="Microsoft YaHei" w:eastAsia="Microsoft YaHei" w:cs="Microsoft YaHei"/>
          <w:b w:val="0"/>
          <w:i w:val="0"/>
          <w:sz w:val="22"/>
        </w:rPr>
        <w:t xml:space="preserve"> 的风险，并统计严格递增的患者比例：</w:t>
      </w:r>
    </w:p>
    <w:p>
      <w:pPr>
        <w:pStyle w:val="Formula"/>
        <w:keepLines/>
        <w:ind w:firstLine="0"/>
        <w:jc w:val="center"/>
      </w:pPr>
      <m:oMath>
        <m:r>
          <m:rPr>
            <m:sty m:val="p"/>
          </m:rPr>
          <m:t>DMR</m:t>
        </m:r>
        <m:r>
          <m:t>=</m:t>
        </m:r>
        <m:f>
          <m:fPr>
            <m:type m:val="bar"/>
          </m:fPr>
          <m:num>
            <m:r>
              <m:t>1</m:t>
            </m:r>
          </m:num>
          <m:den>
            <m:r>
              <m:t>N</m:t>
            </m:r>
          </m:den>
        </m:f>
        <m:nary>
          <m:naryPr>
            <m:chr m:val="∑"/>
            <m:limLoc m:val="subSup"/>
            <m:grow m:val="1"/>
            <m:subHide m:val="off"/>
            <m:supHide m:val="off"/>
          </m:naryPr>
          <m:sub>
            <m:r>
              <m:t>b=1</m:t>
            </m:r>
          </m:sub>
          <m:sup>
            <m:r>
              <m:t>N</m:t>
            </m:r>
          </m:sup>
          <m:e>
            <m:r>
              <m:rPr>
                <m:sty m:val="b"/>
              </m:rPr>
              <m:t>1</m:t>
            </m:r>
          </m:e>
        </m:nary>
        <m:d>
          <m:dPr>
            <m:begChr m:val="["/>
            <m:sepChr m:val=""/>
            <m:endChr m:val="]"/>
          </m:dPr>
          <m:e>
            <m:sSubSup>
              <m:e>
                <m:r>
                  <m:t>r</m:t>
                </m:r>
              </m:e>
              <m:sub>
                <m:sSub>
                  <m:e>
                    <m:r>
                      <m:t>α</m:t>
                    </m:r>
                  </m:e>
                  <m:sub>
                    <m:r>
                      <m:t>k+1</m:t>
                    </m:r>
                  </m:sub>
                </m:sSub>
                <m:r>
                  <m:t>,b</m:t>
                </m:r>
              </m:sub>
              <m:sup>
                <m:r>
                  <m:t>H</m:t>
                </m:r>
              </m:sup>
            </m:sSubSup>
            <m:r>
              <m:t>&gt;</m:t>
            </m:r>
            <m:sSubSup>
              <m:e>
                <m:r>
                  <m:t>r</m:t>
                </m:r>
              </m:e>
              <m:sub>
                <m:sSub>
                  <m:e>
                    <m:r>
                      <m:t>α</m:t>
                    </m:r>
                  </m:e>
                  <m:sub>
                    <m:r>
                      <m:t>k</m:t>
                    </m:r>
                  </m:sub>
                </m:sSub>
                <m:r>
                  <m:t>,b</m:t>
                </m:r>
              </m:sub>
              <m:sup>
                <m:r>
                  <m:t>H</m:t>
                </m:r>
              </m:sup>
            </m:sSubSup>
            <m:r>
              <m:t>,</m:t>
            </m:r>
            <m:r>
              <m:rPr>
                <m:sty m:val="p"/>
              </m:rPr>
              <m:t> </m:t>
            </m:r>
            <m:r>
              <m:t>∀</m:t>
            </m:r>
            <m:r>
              <m:t>k</m:t>
            </m:r>
          </m:e>
        </m:d>
        <m:r>
          <m:t>.</m:t>
        </m:r>
      </m:oMath>
    </w:p>
    <w:p>
      <w:pPr>
        <w:ind w:firstLine="446"/>
      </w:pPr>
      <w:r>
        <w:rPr>
          <w:rFonts w:ascii="Microsoft YaHei" w:hAnsi="Microsoft YaHei" w:eastAsia="Microsoft YaHei" w:cs="Microsoft YaHei"/>
          <w:b w:val="0"/>
          <w:i w:val="0"/>
          <w:sz w:val="22"/>
        </w:rPr>
        <w:t>因此，DMR 检验的是五点路径的严格序关系，而不是风险变化幅度，也不是高、低两条路径的联合满足率。低风险路径可作为补充曲线报告，但不混入当前 DMR 主指标。</w:t>
      </w:r>
    </w:p>
    <w:p>
      <w:pPr>
        <w:ind w:firstLine="446"/>
      </w:pPr>
      <w:r>
        <w:rPr>
          <w:rFonts w:ascii="Microsoft YaHei" w:hAnsi="Microsoft YaHei" w:eastAsia="Microsoft YaHei" w:cs="Microsoft YaHei"/>
          <w:b/>
          <w:i w:val="0"/>
          <w:sz w:val="22"/>
        </w:rPr>
        <w:t>计划总变差（Plan TV）。</w:t>
      </w:r>
      <w:r>
        <w:rPr>
          <w:rFonts w:ascii="Microsoft YaHei" w:hAnsi="Microsoft YaHei" w:eastAsia="Microsoft YaHei" w:cs="Microsoft YaHei"/>
          <w:b w:val="0"/>
          <w:i w:val="0"/>
          <w:sz w:val="22"/>
        </w:rPr>
        <w:t xml:space="preserve"> 设 </w:t>
      </w:r>
      <m:oMath>
        <m:r>
          <m:rPr>
            <m:scr m:val="script"/>
          </m:rPr>
          <m:t>A</m:t>
        </m:r>
      </m:oMath>
      <w:r>
        <w:rPr>
          <w:rFonts w:ascii="Microsoft YaHei" w:hAnsi="Microsoft YaHei" w:eastAsia="Microsoft YaHei" w:cs="Microsoft YaHei"/>
          <w:b w:val="0"/>
          <w:i w:val="0"/>
          <w:sz w:val="22"/>
        </w:rPr>
        <w:t xml:space="preserve"> 为具有有效双侧锚点的阶段集合，则对干预侧 </w:t>
      </w:r>
      <m:oMath>
        <m:r>
          <m:t>u∈{L,H}</m:t>
        </m:r>
      </m:oMath>
      <w:r>
        <w:rPr>
          <w:rFonts w:ascii="Microsoft YaHei" w:hAnsi="Microsoft YaHei" w:eastAsia="Microsoft YaHei" w:cs="Microsoft YaHei"/>
          <w:b w:val="0"/>
          <w:i w:val="0"/>
          <w:sz w:val="22"/>
        </w:rPr>
        <w:t xml:space="preserve"> 定义</w:t>
      </w:r>
    </w:p>
    <w:p>
      <w:pPr>
        <w:pStyle w:val="Formula"/>
        <w:keepLines/>
        <w:ind w:firstLine="0"/>
        <w:jc w:val="center"/>
      </w:pPr>
      <m:oMath>
        <m:sSubSup>
          <m:e>
            <m:r>
              <m:rPr>
                <m:sty m:val="p"/>
              </m:rPr>
              <m:t>TV</m:t>
            </m:r>
          </m:e>
          <m:sub>
            <m:r>
              <m:rPr>
                <m:sty m:val="p"/>
              </m:rPr>
              <m:t>plan</m:t>
            </m:r>
          </m:sub>
          <m:sup>
            <m:r>
              <m:t>u</m:t>
            </m:r>
          </m:sup>
        </m:sSubSup>
        <m:r>
          <m:t>=</m:t>
        </m:r>
        <m:f>
          <m:fPr>
            <m:type m:val="bar"/>
          </m:fPr>
          <m:num>
            <m:r>
              <m:t>1</m:t>
            </m:r>
          </m:num>
          <m:den>
            <m:r>
              <m:t>N|</m:t>
            </m:r>
            <m:r>
              <m:rPr>
                <m:scr m:val="script"/>
              </m:rPr>
              <m:t>A</m:t>
            </m:r>
            <m:r>
              <m:t>|G</m:t>
            </m:r>
          </m:den>
        </m:f>
        <m:nary>
          <m:naryPr>
            <m:chr m:val="∑"/>
            <m:limLoc m:val="subSup"/>
            <m:grow m:val="1"/>
            <m:subHide m:val="off"/>
            <m:supHide m:val="off"/>
          </m:naryPr>
          <m:sub>
            <m:r>
              <m:t>b=1</m:t>
            </m:r>
          </m:sub>
          <m:sup>
            <m:r>
              <m:t>N</m:t>
            </m:r>
          </m:sup>
          <m:e>
            <m:nary>
              <m:naryPr>
                <m:chr m:val="∑"/>
                <m:limLoc m:val="subSup"/>
                <m:grow m:val="1"/>
                <m:subHide m:val="off"/>
                <m:supHide m:val="on"/>
              </m:naryPr>
              <m:sub>
                <m:r>
                  <m:t>s∈</m:t>
                </m:r>
                <m:r>
                  <m:rPr>
                    <m:scr m:val="script"/>
                  </m:rPr>
                  <m:t>A</m:t>
                </m:r>
              </m:sub>
              <m:sup/>
              <m:e>
                <m:nary>
                  <m:naryPr>
                    <m:chr m:val="∑"/>
                    <m:limLoc m:val="subSup"/>
                    <m:grow m:val="1"/>
                    <m:subHide m:val="off"/>
                    <m:supHide m:val="off"/>
                  </m:naryPr>
                  <m:sub>
                    <m:r>
                      <m:t>q=1</m:t>
                    </m:r>
                  </m:sub>
                  <m:sup>
                    <m:r>
                      <m:t>G</m:t>
                    </m:r>
                  </m:sup>
                  <m:e>
                    <m:f>
                      <m:fPr>
                        <m:type m:val="bar"/>
                      </m:fPr>
                      <m:num>
                        <m:r>
                          <m:t>1</m:t>
                        </m:r>
                      </m:num>
                      <m:den>
                        <m:r>
                          <m:t>2</m:t>
                        </m:r>
                      </m:den>
                    </m:f>
                  </m:e>
                </m:nary>
              </m:e>
            </m:nary>
          </m:e>
        </m:nary>
        <m:sSub>
          <m:e>
            <m:d>
              <m:dPr>
                <m:begChr m:val="‖"/>
                <m:sepChr m:val="−"/>
                <m:endChr m:val="‖"/>
              </m:dPr>
              <m:e>
                <m:sSubSup>
                  <m:e>
                    <m:r>
                      <m:t>Π</m:t>
                    </m:r>
                  </m:e>
                  <m:sub>
                    <m:r>
                      <m:t>1,b,s,q</m:t>
                    </m:r>
                  </m:sub>
                  <m:sup>
                    <m:r>
                      <m:t>u</m:t>
                    </m:r>
                  </m:sup>
                </m:sSubSup>
              </m:e>
              <m:e>
                <m:sSubSup>
                  <m:e>
                    <m:r>
                      <m:t>Π</m:t>
                    </m:r>
                  </m:e>
                  <m:sub>
                    <m:r>
                      <m:t>b,s,q</m:t>
                    </m:r>
                  </m:sub>
                  <m:sup>
                    <m:r>
                      <m:t>0</m:t>
                    </m:r>
                  </m:sup>
                </m:sSubSup>
              </m:e>
            </m:d>
          </m:e>
          <m:sub>
            <m:r>
              <m:t>1</m:t>
            </m:r>
          </m:sub>
        </m:sSub>
        <m:r>
          <m:t>,</m:t>
        </m:r>
      </m:oMath>
    </w:p>
    <w:p>
      <w:pPr>
        <w:ind w:firstLine="446"/>
      </w:pPr>
      <w:r>
        <w:rPr>
          <w:rFonts w:ascii="Microsoft YaHei" w:hAnsi="Microsoft YaHei" w:eastAsia="Microsoft YaHei" w:cs="Microsoft YaHei"/>
          <w:b w:val="0"/>
          <w:i w:val="0"/>
          <w:sz w:val="22"/>
        </w:rPr>
        <w:t xml:space="preserve">并报告 </w:t>
      </w:r>
      <m:oMath>
        <m:r>
          <m:rPr>
            <m:sty m:val="p"/>
          </m:rPr>
          <m:t>PlanTV</m:t>
        </m:r>
        <m:r>
          <m:t>=(</m:t>
        </m:r>
        <m:sSubSup>
          <m:e>
            <m:r>
              <m:rPr>
                <m:sty m:val="p"/>
              </m:rPr>
              <m:t>TV</m:t>
            </m:r>
          </m:e>
          <m:sub>
            <m:r>
              <m:rPr>
                <m:sty m:val="p"/>
              </m:rPr>
              <m:t>plan</m:t>
            </m:r>
          </m:sub>
          <m:sup>
            <m:r>
              <m:t>L</m:t>
            </m:r>
          </m:sup>
        </m:sSubSup>
        <m:r>
          <m:t>+</m:t>
        </m:r>
        <m:sSubSup>
          <m:e>
            <m:r>
              <m:rPr>
                <m:sty m:val="p"/>
              </m:rPr>
              <m:t>TV</m:t>
            </m:r>
          </m:e>
          <m:sub>
            <m:r>
              <m:rPr>
                <m:sty m:val="p"/>
              </m:rPr>
              <m:t>plan</m:t>
            </m:r>
          </m:sub>
          <m:sup>
            <m:r>
              <m:t>H</m:t>
            </m:r>
          </m:sup>
        </m:sSubSup>
        <m:r>
          <m:t>)/2</m:t>
        </m:r>
      </m:oMath>
      <w:r>
        <w:rPr>
          <w:rFonts w:ascii="Microsoft YaHei" w:hAnsi="Microsoft YaHei" w:eastAsia="Microsoft YaHei" w:cs="Microsoft YaHei"/>
          <w:b w:val="0"/>
          <w:i w:val="0"/>
          <w:sz w:val="22"/>
        </w:rPr>
        <w:t>。Plan TV 必须由事实与干预计划直接计算；现有审计实现保存的代价平均绝对距离只可作为 cost-distance proxy，不能替代 Plan TV。正式数值须在审计接口修复且干预计划完成导出后填入。</w:t>
      </w:r>
    </w:p>
    <w:p>
      <w:pPr>
        <w:ind w:firstLine="446"/>
      </w:pPr>
      <w:r>
        <w:rPr>
          <w:rFonts w:ascii="Microsoft YaHei" w:hAnsi="Microsoft YaHei" w:eastAsia="Microsoft YaHei" w:cs="Microsoft YaHei"/>
          <w:b w:val="0"/>
          <w:i w:val="0"/>
          <w:sz w:val="22"/>
        </w:rPr>
        <w:t>DCR 检验风险响应方向，DMR 检验响应随干预强度的序关系，Plan TV 检验耦合是否发生实质重构。三者联合只能支持“代价—计划—风险”链条在预定义干预下具有可审计响应，不能单独证明因果效应，也不能证明运输相对于共享表示具有独立贡献。</w:t>
      </w:r>
    </w:p>
    <w:p>
      <w:pPr>
        <w:pStyle w:val="Heading2"/>
        <w:keepNext/>
        <w:ind w:firstLine="0"/>
      </w:pPr>
      <w:r>
        <w:rPr>
          <w:rFonts w:ascii="Microsoft YaHei" w:hAnsi="Microsoft YaHei" w:eastAsia="Microsoft YaHei" w:cs="Microsoft YaHei"/>
          <w:b/>
          <w:i w:val="0"/>
          <w:color w:val="2E74B5"/>
          <w:sz w:val="26"/>
        </w:rPr>
        <w:t>3.10  零假设与特异性验证</w:t>
      </w:r>
    </w:p>
    <w:p>
      <w:pPr>
        <w:ind w:firstLine="446"/>
      </w:pPr>
      <w:r>
        <w:rPr>
          <w:rFonts w:ascii="Microsoft YaHei" w:hAnsi="Microsoft YaHei" w:eastAsia="Microsoft YaHei" w:cs="Microsoft YaHei"/>
          <w:b w:val="0"/>
          <w:i w:val="0"/>
          <w:sz w:val="22"/>
        </w:rPr>
        <w:t>审计指标本身不足以证明特异性；只有针对性零假设能够区分风险参考、阶段结构和重新优化各自的作用。本文预先规定三类对照。</w:t>
      </w:r>
    </w:p>
    <w:p>
      <w:pPr>
        <w:ind w:firstLine="446"/>
      </w:pPr>
      <w:r>
        <w:rPr>
          <w:rFonts w:ascii="Microsoft YaHei" w:hAnsi="Microsoft YaHei" w:eastAsia="Microsoft YaHei" w:cs="Microsoft YaHei"/>
          <w:b/>
          <w:i w:val="0"/>
          <w:sz w:val="22"/>
        </w:rPr>
        <w:t>风险参考零假设。</w:t>
      </w:r>
      <w:r>
        <w:rPr>
          <w:rFonts w:ascii="Microsoft YaHei" w:hAnsi="Microsoft YaHei" w:eastAsia="Microsoft YaHei" w:cs="Microsoft YaHei"/>
          <w:b w:val="0"/>
          <w:i w:val="0"/>
          <w:sz w:val="22"/>
        </w:rPr>
        <w:t xml:space="preserve"> 一种实现以带噪批均代价替代低、高风险集锚点；另一种实现置乱训练参考时间后重新拟合分箱与删失参考。前者检验锚点是否需要真实预后结构，后者检验方向是否依赖一致的训练折生存参考。</w:t>
      </w:r>
    </w:p>
    <w:p>
      <w:pPr>
        <w:ind w:firstLine="446"/>
      </w:pPr>
      <w:r>
        <w:rPr>
          <w:rFonts w:ascii="Microsoft YaHei" w:hAnsi="Microsoft YaHei" w:eastAsia="Microsoft YaHei" w:cs="Microsoft YaHei"/>
          <w:b/>
          <w:i w:val="0"/>
          <w:sz w:val="22"/>
        </w:rPr>
        <w:t>阶段结构零假设。</w:t>
      </w:r>
      <w:r>
        <w:rPr>
          <w:rFonts w:ascii="Microsoft YaHei" w:hAnsi="Microsoft YaHei" w:eastAsia="Microsoft YaHei" w:cs="Microsoft YaHei"/>
          <w:b w:val="0"/>
          <w:i w:val="0"/>
          <w:sz w:val="22"/>
        </w:rPr>
        <w:t xml:space="preserve"> 在保持边界严格递增的前提下，将训练折阶段上界扰动其跨度的 30%，检验精确阶段位置是否承载必要信息。</w:t>
      </w:r>
    </w:p>
    <w:p>
      <w:pPr>
        <w:ind w:firstLine="446"/>
      </w:pPr>
      <w:r>
        <w:rPr>
          <w:rFonts w:ascii="Microsoft YaHei" w:hAnsi="Microsoft YaHei" w:eastAsia="Microsoft YaHei" w:cs="Microsoft YaHei"/>
          <w:b/>
          <w:i w:val="0"/>
          <w:sz w:val="22"/>
        </w:rPr>
        <w:t>重新优化零假设。</w:t>
      </w:r>
      <w:r>
        <w:rPr>
          <w:rFonts w:ascii="Microsoft YaHei" w:hAnsi="Microsoft YaHei" w:eastAsia="Microsoft YaHei" w:cs="Microsoft YaHei"/>
          <w:b w:val="0"/>
          <w:i w:val="0"/>
          <w:sz w:val="22"/>
        </w:rPr>
        <w:t xml:space="preserve"> 固定当前事实耦合，仅将其数值投影到干预边际而不根据新代价重求解，用于隔离“代价被改变”与“计划被重构”。完整模型与固定耦合的差异是核心证伪点。</w:t>
      </w:r>
    </w:p>
    <w:p>
      <w:pPr>
        <w:ind w:firstLine="446"/>
      </w:pPr>
      <w:r>
        <w:rPr>
          <w:rFonts w:ascii="Microsoft YaHei" w:hAnsi="Microsoft YaHei" w:eastAsia="Microsoft YaHei" w:cs="Microsoft YaHei"/>
          <w:b w:val="0"/>
          <w:i w:val="0"/>
          <w:sz w:val="22"/>
        </w:rPr>
        <w:t>这些对照必须与完整模型使用相同数据划分、训练预算和汇总口径。若某项指标在零假设下不衰减，能够支持的机制主张应相应收窄，而不能以预测性能补偿。</w:t>
      </w:r>
    </w:p>
    <w:p>
      <w:pPr>
        <w:pStyle w:val="Heading2"/>
        <w:keepNext/>
        <w:ind w:firstLine="0"/>
      </w:pPr>
      <w:r>
        <w:rPr>
          <w:rFonts w:ascii="Microsoft YaHei" w:hAnsi="Microsoft YaHei" w:eastAsia="Microsoft YaHei" w:cs="Microsoft YaHei"/>
          <w:b/>
          <w:i w:val="0"/>
          <w:color w:val="2E74B5"/>
          <w:sz w:val="26"/>
        </w:rPr>
        <w:t>3.11  与因果干预的边界</w:t>
      </w:r>
    </w:p>
    <w:p>
      <w:pPr>
        <w:ind w:firstLine="446"/>
      </w:pPr>
      <w:r>
        <w:rPr>
          <w:rFonts w:ascii="Microsoft YaHei" w:hAnsi="Microsoft YaHei" w:eastAsia="Microsoft YaHei" w:cs="Microsoft YaHei"/>
          <w:b w:val="0"/>
          <w:i w:val="0"/>
          <w:sz w:val="22"/>
        </w:rPr>
        <w:t xml:space="preserve">由于上述干预发生在模型代价空间，其结论必须与患者层面的因果干预严格区分。在每次事实—干预比较内，DCT 使用同一患者输入与同一组当前参数值，只改变 </w:t>
      </w:r>
      <m:oMath>
        <m:r>
          <m:t>C∈</m:t>
        </m:r>
        <m:sSup>
          <m:e>
            <m:r>
              <m:rPr>
                <m:scr m:val="double-struck"/>
                <m:sty m:val="p"/>
              </m:rPr>
              <m:t>R</m:t>
            </m:r>
          </m:e>
          <m:sup>
            <m:r>
              <m:t>B×S×G×</m:t>
            </m:r>
            <m:sSub>
              <m:e>
                <m:r>
                  <m:t>K</m:t>
                </m:r>
              </m:e>
              <m:sub>
                <m:r>
                  <m:t>w</m:t>
                </m:r>
              </m:sub>
            </m:sSub>
            <m:r>
              <m:t>×</m:t>
            </m:r>
            <m:sSub>
              <m:e>
                <m:r>
                  <m:t>K</m:t>
                </m:r>
              </m:e>
              <m:sub>
                <m:r>
                  <m:t>o</m:t>
                </m:r>
              </m:sub>
            </m:sSub>
          </m:sup>
        </m:sSup>
      </m:oMath>
      <w:r>
        <w:rPr>
          <w:rFonts w:ascii="Microsoft YaHei" w:hAnsi="Microsoft YaHei" w:eastAsia="Microsoft YaHei" w:cs="Microsoft YaHei"/>
          <w:b w:val="0"/>
          <w:i w:val="0"/>
          <w:sz w:val="22"/>
        </w:rPr>
        <w:t xml:space="preserve"> 并重新求解模型内部计划；评估审计时参数完全冻结。训练阶段的方向损失仍会反向更新参数，但它同样没有改变治疗、暴露或生物学特征。</w:t>
      </w:r>
    </w:p>
    <w:p>
      <w:pPr>
        <w:ind w:firstLine="446"/>
      </w:pPr>
      <w:r>
        <w:rPr>
          <w:rFonts w:ascii="Microsoft YaHei" w:hAnsi="Microsoft YaHei" w:eastAsia="Microsoft YaHei" w:cs="Microsoft YaHei"/>
          <w:b w:val="0"/>
          <w:i w:val="0"/>
          <w:sz w:val="22"/>
        </w:rPr>
        <w:t>第一，评估审计的对象是冻结模型内的代价张量，而不是患者变量。第二，DCT 报告的是代价扰动引起的风险响应及其审计率，而不是 ATE、CATE 或其他患者级因果效应。第三，审计通过只支持给定模型、给定数据分布和给定干预协议下的内部一致性；它不保证跨机构有效，也不为临床决策提供治疗效应解释。</w:t>
      </w:r>
    </w:p>
    <w:p>
      <w:pPr>
        <w:ind w:firstLine="446"/>
      </w:pPr>
      <w:r>
        <w:rPr>
          <w:rFonts w:ascii="Microsoft YaHei" w:hAnsi="Microsoft YaHei" w:eastAsia="Microsoft YaHei" w:cs="Microsoft YaHei"/>
          <w:b/>
          <w:i w:val="0"/>
          <w:sz w:val="22"/>
        </w:rPr>
        <w:t>DCT 不声称以下内容。</w:t>
      </w:r>
      <w:r>
        <w:rPr>
          <w:rFonts w:ascii="Microsoft YaHei" w:hAnsi="Microsoft YaHei" w:eastAsia="Microsoft YaHei" w:cs="Microsoft YaHei"/>
          <w:b w:val="0"/>
          <w:i w:val="0"/>
          <w:sz w:val="22"/>
        </w:rPr>
        <w:t xml:space="preserve"> </w:t>
      </w:r>
      <m:oMath>
        <m:sSup>
          <m:e>
            <m:r>
              <m:t>A</m:t>
            </m:r>
          </m:e>
          <m:sup>
            <m:r>
              <m:t>L</m:t>
            </m:r>
          </m:sup>
        </m:sSup>
      </m:oMath>
      <w:r>
        <w:rPr>
          <w:rFonts w:ascii="Microsoft YaHei" w:hAnsi="Microsoft YaHei" w:eastAsia="Microsoft YaHei" w:cs="Microsoft YaHei"/>
          <w:b w:val="0"/>
          <w:i w:val="0"/>
          <w:sz w:val="22"/>
        </w:rPr>
        <w:t xml:space="preserve"> 与 </w:t>
      </w:r>
      <m:oMath>
        <m:sSup>
          <m:e>
            <m:r>
              <m:t>A</m:t>
            </m:r>
          </m:e>
          <m:sup>
            <m:r>
              <m:t>H</m:t>
            </m:r>
          </m:sup>
        </m:sSup>
      </m:oMath>
      <w:r>
        <w:rPr>
          <w:rFonts w:ascii="Microsoft YaHei" w:hAnsi="Microsoft YaHei" w:eastAsia="Microsoft YaHei" w:cs="Microsoft YaHei"/>
          <w:b w:val="0"/>
          <w:i w:val="0"/>
          <w:sz w:val="22"/>
        </w:rPr>
        <w:t xml:space="preserve"> 只是由训练折低、高风险集在线汇聚得到的经验代价构型，不代表临床上的低风险或高风险治疗；</w:t>
      </w:r>
      <m:oMath>
        <m:sSub>
          <m:e>
            <m:r>
              <m:rPr>
                <m:scr m:val="script"/>
              </m:rPr>
              <m:t>L</m:t>
            </m:r>
          </m:e>
          <m:sub>
            <m:r>
              <m:rPr>
                <m:sty m:val="p"/>
              </m:rPr>
              <m:t>dir</m:t>
            </m:r>
          </m:sub>
        </m:sSub>
      </m:oMath>
      <w:r>
        <w:rPr>
          <w:rFonts w:ascii="Microsoft YaHei" w:hAnsi="Microsoft YaHei" w:eastAsia="Microsoft YaHei" w:cs="Microsoft YaHei"/>
          <w:b w:val="0"/>
          <w:i w:val="0"/>
          <w:sz w:val="22"/>
        </w:rPr>
        <w:t xml:space="preserve"> 约束的是模型对代价空间扰动的内部风险响应，而非患者级治疗效应；DCR、DMR 或 Plan TV 较高也不证明运输相对于共享表示具有独立预后贡献。由于传输计划与其他模态表征共享编码路径，观测到的 </w:t>
      </w:r>
      <m:oMath>
        <m:r>
          <m:t>Δr</m:t>
        </m:r>
      </m:oMath>
      <w:r>
        <w:rPr>
          <w:rFonts w:ascii="Microsoft YaHei" w:hAnsi="Microsoft YaHei" w:eastAsia="Microsoft YaHei" w:cs="Microsoft YaHei"/>
          <w:b w:val="0"/>
          <w:i w:val="0"/>
          <w:sz w:val="22"/>
        </w:rPr>
        <w:t xml:space="preserve"> 仍可能包含模态共响应。本文不识别此类混杂，也不声称审计结论在分布偏移下自动保持有效。本文的主张仅是：传输预后活性可以被操作化为一个模型层面的、可量化且可证伪的命题。</w:t>
      </w:r>
    </w:p>
    <w:p>
      <w:pPr>
        <w:pStyle w:val="Heading1"/>
        <w:keepNext/>
        <w:ind w:firstLine="0"/>
      </w:pPr>
      <w:r>
        <w:rPr>
          <w:rFonts w:ascii="Microsoft YaHei" w:hAnsi="Microsoft YaHei" w:eastAsia="Microsoft YaHei" w:cs="Microsoft YaHei"/>
          <w:b/>
          <w:i w:val="0"/>
          <w:color w:val="2E74B5"/>
          <w:sz w:val="32"/>
        </w:rPr>
        <w:t>4  实验（占位）</w:t>
      </w: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9360"/>
      </w:tblGrid>
      <w:tr>
        <w:trPr>
          <w:cantSplit/>
        </w:trPr>
        <w:tc>
          <w:tcPr>
            <w:tcW w:type="dxa" w:w="9360"/>
            <w:tcMar>
              <w:top w:w="80" w:type="dxa"/>
              <w:start w:w="120" w:type="dxa"/>
              <w:bottom w:w="80" w:type="dxa"/>
              <w:end w:w="120" w:type="dxa"/>
            </w:tcMar>
            <w:vAlign w:val="center"/>
            <w:shd w:fill="F4F6F9" w:val="clear"/>
            <w:tcBorders>
              <w:top w:val="single" w:sz="7" w:space="0" w:color="D9E1EA"/>
              <w:left w:val="single" w:sz="7" w:space="0" w:color="D9E1EA"/>
              <w:bottom w:val="single" w:sz="7" w:space="0" w:color="D9E1EA"/>
              <w:right w:val="single" w:sz="7" w:space="0" w:color="D9E1EA"/>
            </w:tcBorders>
          </w:tcPr>
          <w:p>
            <w:pPr>
              <w:spacing w:before="20" w:after="20" w:line="283" w:lineRule="auto"/>
              <w:ind w:firstLine="0"/>
            </w:pPr>
            <w:r>
              <w:rPr>
                <w:rFonts w:ascii="Microsoft YaHei" w:hAnsi="Microsoft YaHei" w:eastAsia="Microsoft YaHei" w:cs="Microsoft YaHei"/>
                <w:b w:val="0"/>
                <w:i w:val="0"/>
                <w:color w:val="425466"/>
                <w:sz w:val="18"/>
              </w:rPr>
              <w:t>本节仅保留最终结果的报告结构。所有定量结论必须来自同一冻结配方下的六癌种五折实验，并在逐折预测、训练曲线、检查点、数据划分、解析后配置、代码版本、环境信息与结果清单归档齐全后填入；当前不引用历史配方数字。</w:t>
            </w:r>
          </w:p>
        </w:tc>
      </w:tr>
    </w:tbl>
    <w:p>
      <w:pPr>
        <w:spacing w:before="0" w:after="40"/>
      </w:pP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9360"/>
      </w:tblGrid>
      <w:tr>
        <w:trPr>
          <w:cantSplit/>
        </w:trPr>
        <w:tc>
          <w:tcPr>
            <w:tcW w:type="dxa" w:w="9360"/>
            <w:tcMar>
              <w:top w:w="80" w:type="dxa"/>
              <w:start w:w="120" w:type="dxa"/>
              <w:bottom w:w="80" w:type="dxa"/>
              <w:end w:w="120" w:type="dxa"/>
            </w:tcMar>
            <w:vAlign w:val="center"/>
            <w:shd w:fill="F4F6F9" w:val="clear"/>
            <w:tcBorders>
              <w:top w:val="single" w:sz="7" w:space="0" w:color="D9E1EA"/>
              <w:left w:val="single" w:sz="7" w:space="0" w:color="D9E1EA"/>
              <w:bottom w:val="single" w:sz="7" w:space="0" w:color="D9E1EA"/>
              <w:right w:val="single" w:sz="7" w:space="0" w:color="D9E1EA"/>
            </w:tcBorders>
          </w:tcPr>
          <w:p>
            <w:pPr>
              <w:spacing w:before="20" w:after="20" w:line="283" w:lineRule="auto"/>
              <w:ind w:firstLine="0"/>
            </w:pPr>
            <w:r>
              <w:rPr>
                <w:rFonts w:ascii="Microsoft YaHei" w:hAnsi="Microsoft YaHei" w:eastAsia="Microsoft YaHei" w:cs="Microsoft YaHei"/>
                <w:b/>
                <w:i w:val="0"/>
                <w:color w:val="425466"/>
                <w:sz w:val="18"/>
              </w:rPr>
              <w:t>实现证据门</w:t>
            </w:r>
            <w:r>
              <w:rPr>
                <w:rFonts w:ascii="Microsoft YaHei" w:hAnsi="Microsoft YaHei" w:eastAsia="Microsoft YaHei" w:cs="Microsoft YaHei"/>
                <w:b w:val="0"/>
                <w:i w:val="0"/>
                <w:color w:val="425466"/>
                <w:sz w:val="18"/>
              </w:rPr>
              <w:t>：当前 DCR 审计入口仍需修复前向返回值的解包接口，Plan TV 还需直接导出事实与干预计划。两项修复及回归验证完成前，DCR 与 Plan TV 的结果占位不得解除；cost-distance proxy 不得作为 Plan TV 填入。</w:t>
            </w:r>
          </w:p>
        </w:tc>
      </w:tr>
    </w:tbl>
    <w:p>
      <w:pPr>
        <w:spacing w:before="0" w:after="40"/>
      </w:pPr>
    </w:p>
    <w:p>
      <w:pPr>
        <w:pStyle w:val="Heading2"/>
        <w:keepNext/>
        <w:ind w:firstLine="0"/>
      </w:pPr>
      <w:r>
        <w:rPr>
          <w:rFonts w:ascii="Microsoft YaHei" w:hAnsi="Microsoft YaHei" w:eastAsia="Microsoft YaHei" w:cs="Microsoft YaHei"/>
          <w:b/>
          <w:i w:val="0"/>
          <w:color w:val="2E74B5"/>
          <w:sz w:val="26"/>
        </w:rPr>
        <w:t>4.1  实验设置</w:t>
      </w:r>
    </w:p>
    <w:p>
      <w:pPr>
        <w:ind w:firstLine="446"/>
      </w:pPr>
      <w:r>
        <w:rPr>
          <w:rFonts w:ascii="Microsoft YaHei" w:hAnsi="Microsoft YaHei" w:eastAsia="Microsoft YaHei" w:cs="Microsoft YaHei"/>
          <w:b w:val="0"/>
          <w:i w:val="0"/>
          <w:sz w:val="22"/>
        </w:rPr>
        <w:t xml:space="preserve">我们在六个 TCGA 队列（UCEC、KIRC、BLCA、HNSC、SKCM 和 LUSC）上评估 DCT，队列规模、事件数与删失比例见 </w:t>
      </w:r>
      <w:r>
        <w:rPr>
          <w:rFonts w:ascii="Microsoft YaHei" w:hAnsi="Microsoft YaHei" w:eastAsia="Microsoft YaHei" w:cs="Microsoft YaHei"/>
          <w:b/>
          <w:i w:val="0"/>
          <w:sz w:val="22"/>
          <w:shd w:fill="FFF2CC"/>
        </w:rPr>
        <w:t>[占位：队列统计表]</w:t>
      </w:r>
      <w:r>
        <w:rPr>
          <w:rFonts w:ascii="Microsoft YaHei" w:hAnsi="Microsoft YaHei" w:eastAsia="Microsoft YaHei" w:cs="Microsoft YaHei"/>
          <w:b w:val="0"/>
          <w:i w:val="0"/>
          <w:sz w:val="22"/>
        </w:rPr>
        <w:t xml:space="preserve">。所有实验采用 </w:t>
      </w:r>
      <w:r>
        <w:rPr>
          <w:rFonts w:ascii="Calibri" w:hAnsi="Calibri" w:eastAsia="Microsoft YaHei" w:cs="Calibri"/>
          <w:b w:val="0"/>
          <w:i w:val="0"/>
          <w:color w:val="3F4C5A"/>
          <w:sz w:val="21"/>
        </w:rPr>
        <w:t>5fold_uni2h</w:t>
      </w:r>
      <w:r>
        <w:rPr>
          <w:rFonts w:ascii="Microsoft YaHei" w:hAnsi="Microsoft YaHei" w:eastAsia="Microsoft YaHei" w:cs="Microsoft YaHei"/>
          <w:b w:val="0"/>
          <w:i w:val="0"/>
          <w:sz w:val="22"/>
        </w:rPr>
        <w:t xml:space="preserve"> 协议；时间分箱、删失分布和低/高风险锚点仅由训练折估计，保留折只用于最终预测与机制审计。任何模型选择均须在训练折内部完成。</w:t>
      </w:r>
      <w:r>
        <w:rPr>
          <w:rFonts w:ascii="Microsoft YaHei" w:hAnsi="Microsoft YaHei" w:eastAsia="Microsoft YaHei" w:cs="Microsoft YaHei"/>
          <w:b/>
          <w:i w:val="0"/>
          <w:sz w:val="22"/>
          <w:shd w:fill="FFF2CC"/>
        </w:rPr>
        <w:t>[占位：训练内验证规则、随机种子、重复次数与置信区间方法]</w:t>
      </w:r>
    </w:p>
    <w:p>
      <w:pPr>
        <w:ind w:firstLine="446"/>
      </w:pPr>
      <w:r>
        <w:rPr>
          <w:rFonts w:ascii="Microsoft YaHei" w:hAnsi="Microsoft YaHei" w:eastAsia="Microsoft YaHei" w:cs="Microsoft YaHei"/>
          <w:b w:val="0"/>
          <w:i w:val="0"/>
          <w:sz w:val="22"/>
        </w:rPr>
        <w:t xml:space="preserve">主模型使用 §3.8 的冻结目标，编码器、优化器、批大小与 Sinkhorn 参数按附录 B 记录。比较方法包括 </w:t>
      </w:r>
      <w:r>
        <w:rPr>
          <w:rFonts w:ascii="Microsoft YaHei" w:hAnsi="Microsoft YaHei" w:eastAsia="Microsoft YaHei" w:cs="Microsoft YaHei"/>
          <w:b/>
          <w:i w:val="0"/>
          <w:sz w:val="22"/>
          <w:shd w:fill="FFF2CC"/>
        </w:rPr>
        <w:t>[占位：单模态、通用多模态与 OT 基线列表]</w:t>
      </w:r>
      <w:r>
        <w:rPr>
          <w:rFonts w:ascii="Microsoft YaHei" w:hAnsi="Microsoft YaHei" w:eastAsia="Microsoft YaHei" w:cs="Microsoft YaHei"/>
          <w:b w:val="0"/>
          <w:i w:val="0"/>
          <w:sz w:val="22"/>
        </w:rPr>
        <w:t>，并统一使用相同病例划分与预处理。</w:t>
      </w:r>
      <w:r>
        <w:rPr>
          <w:rFonts w:ascii="Microsoft YaHei" w:hAnsi="Microsoft YaHei" w:eastAsia="Microsoft YaHei" w:cs="Microsoft YaHei"/>
          <w:b/>
          <w:i w:val="0"/>
          <w:sz w:val="22"/>
          <w:shd w:fill="FFF2CC"/>
        </w:rPr>
        <w:t>[占位：公平性控制、公开实现版本与超参数选择规则]</w:t>
      </w:r>
    </w:p>
    <w:p>
      <w:pPr>
        <w:ind w:firstLine="446"/>
      </w:pPr>
      <w:r>
        <w:rPr>
          <w:rFonts w:ascii="Microsoft YaHei" w:hAnsi="Microsoft YaHei" w:eastAsia="Microsoft YaHei" w:cs="Microsoft YaHei"/>
          <w:b w:val="0"/>
          <w:i w:val="0"/>
          <w:sz w:val="22"/>
        </w:rPr>
        <w:t>预测能力以逐癌种 C-index 及其不确定性衡量；机制证据由 DCR、DMR 和 Plan TV 共同刻画。完整模型与所有零假设对照使用相同数据划分、训练预算和折间汇总口径。</w:t>
      </w:r>
    </w:p>
    <w:p>
      <w:pPr>
        <w:pStyle w:val="Heading2"/>
        <w:keepNext/>
        <w:ind w:firstLine="0"/>
      </w:pPr>
      <w:r>
        <w:rPr>
          <w:rFonts w:ascii="Microsoft YaHei" w:hAnsi="Microsoft YaHei" w:eastAsia="Microsoft YaHei" w:cs="Microsoft YaHei"/>
          <w:b/>
          <w:i w:val="0"/>
          <w:color w:val="2E74B5"/>
          <w:sz w:val="26"/>
        </w:rPr>
        <w:t>4.2  预测性能</w:t>
      </w:r>
    </w:p>
    <w:p>
      <w:pPr>
        <w:ind w:firstLine="446"/>
      </w:pPr>
      <w:r>
        <w:rPr>
          <w:rFonts w:ascii="Microsoft YaHei" w:hAnsi="Microsoft YaHei" w:eastAsia="Microsoft YaHei" w:cs="Microsoft YaHei"/>
          <w:b w:val="0"/>
          <w:i w:val="0"/>
          <w:sz w:val="22"/>
        </w:rPr>
        <w:t>六个癌种上的预测结果将由图 3A 与对应表格联合报告：</w:t>
      </w:r>
      <w:r>
        <w:rPr>
          <w:rFonts w:ascii="Microsoft YaHei" w:hAnsi="Microsoft YaHei" w:eastAsia="Microsoft YaHei" w:cs="Microsoft YaHei"/>
          <w:b/>
          <w:i w:val="0"/>
          <w:sz w:val="22"/>
          <w:shd w:fill="FFF2CC"/>
        </w:rPr>
        <w:t>[占位：逐折 C-index、汇总点估计、置信区间和相对基线差异]</w:t>
      </w:r>
      <w:r>
        <w:rPr>
          <w:rFonts w:ascii="Microsoft YaHei" w:hAnsi="Microsoft YaHei" w:eastAsia="Microsoft YaHei" w:cs="Microsoft YaHei"/>
          <w:b w:val="0"/>
          <w:i w:val="0"/>
          <w:sz w:val="22"/>
        </w:rPr>
        <w:t>。图中应保留折级散点与不确定性，避免只用柱高掩盖折间波动；在结果冻结前不写“全面优于”或“SOTA”。</w:t>
      </w:r>
    </w:p>
    <w:p>
      <w:pPr>
        <w:ind w:firstLine="446"/>
      </w:pPr>
      <w:r>
        <w:rPr>
          <w:rFonts w:ascii="Microsoft YaHei" w:hAnsi="Microsoft YaHei" w:eastAsia="Microsoft YaHei" w:cs="Microsoft YaHei"/>
          <w:b w:val="0"/>
          <w:i w:val="0"/>
          <w:sz w:val="22"/>
        </w:rPr>
        <w:t>C-index 只评价最终风险排序，不能说明传输结构是否参与了排序。即使两个模型具有相近的预测性能，它们也可能依赖不同的内部路径。因此，预测性能在本文中是进入机制比较的必要背景，而不是传输有效性的直接证据。</w:t>
      </w:r>
    </w:p>
    <w:p>
      <w:pPr>
        <w:ind w:firstLine="446"/>
      </w:pPr>
      <w:r>
        <w:rPr>
          <w:rFonts w:ascii="Microsoft YaHei" w:hAnsi="Microsoft YaHei" w:eastAsia="Microsoft YaHei" w:cs="Microsoft YaHei"/>
          <w:b w:val="0"/>
          <w:i w:val="0"/>
          <w:sz w:val="22"/>
        </w:rPr>
        <w:t>图 3B 预定义比较无方向正则的 DCT（</w:t>
      </w:r>
      <m:oMath>
        <m:sSub>
          <m:e>
            <m:r>
              <m:t>λ</m:t>
            </m:r>
          </m:e>
          <m:sub>
            <m:r>
              <m:rPr>
                <m:sty m:val="p"/>
              </m:rPr>
              <m:t>dir</m:t>
            </m:r>
          </m:sub>
        </m:sSub>
        <m:r>
          <m:t>=0</m:t>
        </m:r>
      </m:oMath>
      <w:r>
        <w:rPr>
          <w:rFonts w:ascii="Microsoft YaHei" w:hAnsi="Microsoft YaHei" w:eastAsia="Microsoft YaHei" w:cs="Microsoft YaHei"/>
          <w:b w:val="0"/>
          <w:i w:val="0"/>
          <w:sz w:val="22"/>
        </w:rPr>
        <w:t>）与冻结 DCT-Reg（</w:t>
      </w:r>
      <m:oMath>
        <m:sSub>
          <m:e>
            <m:r>
              <m:t>λ</m:t>
            </m:r>
          </m:e>
          <m:sub>
            <m:r>
              <m:rPr>
                <m:sty m:val="p"/>
              </m:rPr>
              <m:t>dir</m:t>
            </m:r>
          </m:sub>
        </m:sSub>
        <m:r>
          <m:t>=0.05</m:t>
        </m:r>
      </m:oMath>
      <w:r>
        <w:rPr>
          <w:rFonts w:ascii="Microsoft YaHei" w:hAnsi="Microsoft YaHei" w:eastAsia="Microsoft YaHei" w:cs="Microsoft YaHei"/>
          <w:b w:val="0"/>
          <w:i w:val="0"/>
          <w:sz w:val="22"/>
        </w:rPr>
        <w:t>），并同时报告 C-index、DCR、DMR 与 Plan TV。</w:t>
      </w:r>
      <w:r>
        <w:rPr>
          <w:rFonts w:ascii="Microsoft YaHei" w:hAnsi="Microsoft YaHei" w:eastAsia="Microsoft YaHei" w:cs="Microsoft YaHei"/>
          <w:b/>
          <w:i w:val="0"/>
          <w:sz w:val="22"/>
          <w:shd w:fill="FFF2CC"/>
        </w:rPr>
        <w:t>[占位：配对折级结果与不确定性]</w:t>
      </w:r>
      <w:r>
        <w:rPr>
          <w:rFonts w:ascii="Microsoft YaHei" w:hAnsi="Microsoft YaHei" w:eastAsia="Microsoft YaHei" w:cs="Microsoft YaHei"/>
          <w:b w:val="0"/>
          <w:i w:val="0"/>
          <w:sz w:val="22"/>
        </w:rPr>
        <w:t xml:space="preserve"> 该比较的目的不是把方向损失作为普通性能消融，而是检验预测排序近似时，传输响应是否仍可发生可测差异；若两种配置的预测或机制指标并不满足这一模式，正文应据实报告而不能预设“解耦”成立。</w:t>
      </w:r>
    </w:p>
    <w:p>
      <w:pPr>
        <w:pStyle w:val="Heading2"/>
        <w:keepNext/>
        <w:ind w:firstLine="0"/>
      </w:pPr>
      <w:r>
        <w:rPr>
          <w:rFonts w:ascii="Microsoft YaHei" w:hAnsi="Microsoft YaHei" w:eastAsia="Microsoft YaHei" w:cs="Microsoft YaHei"/>
          <w:b/>
          <w:i w:val="0"/>
          <w:color w:val="2E74B5"/>
          <w:sz w:val="26"/>
        </w:rPr>
        <w:t>4.3  传输预后活性审计</w:t>
      </w:r>
    </w:p>
    <w:p>
      <w:pPr>
        <w:ind w:firstLine="446"/>
      </w:pPr>
      <w:r>
        <w:rPr>
          <w:rFonts w:ascii="Microsoft YaHei" w:hAnsi="Microsoft YaHei" w:eastAsia="Microsoft YaHei" w:cs="Microsoft YaHei"/>
          <w:b w:val="0"/>
          <w:i w:val="0"/>
          <w:sz w:val="22"/>
        </w:rPr>
        <w:t xml:space="preserve">完整 DCT 的 DCR、DMR 和 Plan TV 分别为 </w:t>
      </w:r>
      <w:r>
        <w:rPr>
          <w:rFonts w:ascii="Microsoft YaHei" w:hAnsi="Microsoft YaHei" w:eastAsia="Microsoft YaHei" w:cs="Microsoft YaHei"/>
          <w:b/>
          <w:i w:val="0"/>
          <w:sz w:val="22"/>
          <w:shd w:fill="FFF2CC"/>
        </w:rPr>
        <w:t>[占位]</w:t>
      </w:r>
      <w:r>
        <w:rPr>
          <w:rFonts w:ascii="Microsoft YaHei" w:hAnsi="Microsoft YaHei" w:eastAsia="Microsoft YaHei" w:cs="Microsoft YaHei"/>
          <w:b w:val="0"/>
          <w:i w:val="0"/>
          <w:sz w:val="22"/>
        </w:rPr>
        <w:t>、</w:t>
      </w:r>
      <w:r>
        <w:rPr>
          <w:rFonts w:ascii="Microsoft YaHei" w:hAnsi="Microsoft YaHei" w:eastAsia="Microsoft YaHei" w:cs="Microsoft YaHei"/>
          <w:b/>
          <w:i w:val="0"/>
          <w:sz w:val="22"/>
          <w:shd w:fill="FFF2CC"/>
        </w:rPr>
        <w:t>[占位]</w:t>
      </w:r>
      <w:r>
        <w:rPr>
          <w:rFonts w:ascii="Microsoft YaHei" w:hAnsi="Microsoft YaHei" w:eastAsia="Microsoft YaHei" w:cs="Microsoft YaHei"/>
          <w:b w:val="0"/>
          <w:i w:val="0"/>
          <w:sz w:val="22"/>
        </w:rPr>
        <w:t xml:space="preserve"> 和 </w:t>
      </w:r>
      <w:r>
        <w:rPr>
          <w:rFonts w:ascii="Microsoft YaHei" w:hAnsi="Microsoft YaHei" w:eastAsia="Microsoft YaHei" w:cs="Microsoft YaHei"/>
          <w:b/>
          <w:i w:val="0"/>
          <w:sz w:val="22"/>
          <w:shd w:fill="FFF2CC"/>
        </w:rPr>
        <w:t>[占位]</w:t>
      </w:r>
      <w:r>
        <w:rPr>
          <w:rFonts w:ascii="Microsoft YaHei" w:hAnsi="Microsoft YaHei" w:eastAsia="Microsoft YaHei" w:cs="Microsoft YaHei"/>
          <w:b w:val="0"/>
          <w:i w:val="0"/>
          <w:sz w:val="22"/>
        </w:rPr>
        <w:t xml:space="preserve">，逐癌种、逐折及患者级不确定性见 </w:t>
      </w:r>
      <w:r>
        <w:rPr>
          <w:rFonts w:ascii="Microsoft YaHei" w:hAnsi="Microsoft YaHei" w:eastAsia="Microsoft YaHei" w:cs="Microsoft YaHei"/>
          <w:b/>
          <w:i w:val="0"/>
          <w:sz w:val="22"/>
          <w:shd w:fill="FFF2CC"/>
        </w:rPr>
        <w:t>[占位：三项审计指标汇总表与路径图]</w:t>
      </w:r>
      <w:r>
        <w:rPr>
          <w:rFonts w:ascii="Microsoft YaHei" w:hAnsi="Microsoft YaHei" w:eastAsia="Microsoft YaHei" w:cs="Microsoft YaHei"/>
          <w:b w:val="0"/>
          <w:i w:val="0"/>
          <w:sz w:val="22"/>
        </w:rPr>
        <w:t>。其中 DCR 按高、低标记病例合并计数；DMR 按当前预注册实现仅统计高风险五点路径的严格递增率；Plan TV 必须由事实与干预计划直接计算，不能用 cost-distance proxy 代替。</w:t>
      </w:r>
    </w:p>
    <w:p>
      <w:pPr>
        <w:ind w:firstLine="446"/>
      </w:pPr>
      <w:r>
        <w:rPr>
          <w:rFonts w:ascii="Microsoft YaHei" w:hAnsi="Microsoft YaHei" w:eastAsia="Microsoft YaHei" w:cs="Microsoft YaHei"/>
          <w:b w:val="0"/>
          <w:i w:val="0"/>
          <w:sz w:val="22"/>
        </w:rPr>
        <w:t>图 4A–C 将分别展示 DCR、DMR 与 Plan TV 的癌种级点估计、折级分布和不确定性；图 S1 仅在事实与干预计划完成导出后展示预先选定的代表响应病例与审计失败病例，图 S2 则用于分解阶段 × 几何层面的计划响应。三项主指标回答互补问题：Plan TV 较大只说明计划发生变化，不能证明变化具有预后方向；DCR 较高若缺少计划重构，不足以排除共享表示或风险读取器的旁路响应；DMR 则要求风险在整个强度路径上保持严格序关系。联合解释仍限于模型内部机制一致性，不构成患者级因果效应证据。</w:t>
      </w:r>
    </w:p>
    <w:p>
      <w:pPr>
        <w:pStyle w:val="Heading2"/>
        <w:keepNext/>
        <w:ind w:firstLine="0"/>
      </w:pPr>
      <w:r>
        <w:rPr>
          <w:rFonts w:ascii="Microsoft YaHei" w:hAnsi="Microsoft YaHei" w:eastAsia="Microsoft YaHei" w:cs="Microsoft YaHei"/>
          <w:b/>
          <w:i w:val="0"/>
          <w:color w:val="2E74B5"/>
          <w:sz w:val="26"/>
        </w:rPr>
        <w:t>4.4  零假设对照</w:t>
      </w:r>
    </w:p>
    <w:p>
      <w:pPr>
        <w:ind w:firstLine="446"/>
      </w:pPr>
      <w:r>
        <w:rPr>
          <w:rFonts w:ascii="Microsoft YaHei" w:hAnsi="Microsoft YaHei" w:eastAsia="Microsoft YaHei" w:cs="Microsoft YaHei"/>
          <w:b w:val="0"/>
          <w:i w:val="0"/>
          <w:sz w:val="22"/>
        </w:rPr>
        <w:t>零假设对照用于区分风险参考、阶段条件与重新优化的作用。图 4D 与对应表格将比较完整模型、带噪批均锚点或置乱风险参考、阶段边界扰动和固定耦合；所有条件必须共享数据划分、训练预算和折间汇总口径。其中，完整模型与固定耦合之间的关键比较预定义为</w:t>
      </w:r>
    </w:p>
    <w:p>
      <w:pPr>
        <w:pStyle w:val="Formula"/>
        <w:keepLines/>
        <w:ind w:firstLine="0"/>
        <w:jc w:val="center"/>
      </w:pPr>
      <m:oMath>
        <m:r>
          <m:t>Δ</m:t>
        </m:r>
        <m:sSub>
          <m:e>
            <m:r>
              <m:rPr>
                <m:sty m:val="p"/>
              </m:rPr>
              <m:t>DCR</m:t>
            </m:r>
          </m:e>
          <m:sub>
            <m:r>
              <m:rPr>
                <m:sty m:val="p"/>
              </m:rPr>
              <m:t>re</m:t>
            </m:r>
            <m:r>
              <m:rPr>
                <m:nor/>
              </m:rPr>
              <m:t>-</m:t>
            </m:r>
            <m:r>
              <m:rPr>
                <m:sty m:val="p"/>
              </m:rPr>
              <m:t>solve</m:t>
            </m:r>
          </m:sub>
        </m:sSub>
        <m:r>
          <m:t>=</m:t>
        </m:r>
        <m:sSub>
          <m:e>
            <m:r>
              <m:rPr>
                <m:sty m:val="p"/>
              </m:rPr>
              <m:t>DCR</m:t>
            </m:r>
          </m:e>
          <m:sub>
            <m:r>
              <m:rPr>
                <m:sty m:val="p"/>
              </m:rPr>
              <m:t>full</m:t>
            </m:r>
          </m:sub>
        </m:sSub>
        <m:r>
          <m:t>−</m:t>
        </m:r>
        <m:sSub>
          <m:e>
            <m:r>
              <m:rPr>
                <m:sty m:val="p"/>
              </m:rPr>
              <m:t>DCR</m:t>
            </m:r>
          </m:e>
          <m:sub>
            <m:r>
              <m:rPr>
                <m:sty m:val="p"/>
              </m:rPr>
              <m:t>fixed</m:t>
            </m:r>
            <m:r>
              <m:rPr>
                <m:sty m:val="p"/>
              </m:rPr>
              <m:t> </m:t>
            </m:r>
            <m:r>
              <m:rPr>
                <m:sty m:val="p"/>
              </m:rPr>
              <m:t>coupling</m:t>
            </m:r>
          </m:sub>
        </m:sSub>
        <m:r>
          <m:t>=[占位].</m:t>
        </m:r>
      </m:oMath>
    </w:p>
    <w:p>
      <w:pPr>
        <w:ind w:firstLine="446"/>
      </w:pPr>
      <w:r>
        <w:rPr>
          <w:rFonts w:ascii="Microsoft YaHei" w:hAnsi="Microsoft YaHei" w:eastAsia="Microsoft YaHei" w:cs="Microsoft YaHei"/>
          <w:b w:val="0"/>
          <w:i w:val="0"/>
          <w:sz w:val="22"/>
        </w:rPr>
        <w:t>只有重新求解后的响应稳定强于固定耦合，才能支持“计划重构参与风险变化”。若该差值缺失、接近零或跨折不稳定，则这一主张不成立；相同原则分别用于解释风险参考与阶段结构对照。</w:t>
      </w:r>
      <w:r>
        <w:rPr>
          <w:rFonts w:ascii="Microsoft YaHei" w:hAnsi="Microsoft YaHei" w:eastAsia="Microsoft YaHei" w:cs="Microsoft YaHei"/>
          <w:b/>
          <w:i w:val="0"/>
          <w:sz w:val="22"/>
          <w:shd w:fill="FFF2CC"/>
        </w:rPr>
        <w:t>[占位：效应量、折间不确定性、多重比较与预定义通过标准]</w:t>
      </w:r>
    </w:p>
    <w:p>
      <w:pPr>
        <w:pStyle w:val="Heading2"/>
        <w:keepNext/>
        <w:ind w:firstLine="0"/>
      </w:pPr>
      <w:r>
        <w:rPr>
          <w:rFonts w:ascii="Microsoft YaHei" w:hAnsi="Microsoft YaHei" w:eastAsia="Microsoft YaHei" w:cs="Microsoft YaHei"/>
          <w:b/>
          <w:i w:val="0"/>
          <w:color w:val="2E74B5"/>
          <w:sz w:val="26"/>
        </w:rPr>
        <w:t>4.5  对已发表方法的审计</w:t>
      </w:r>
    </w:p>
    <w:p>
      <w:pPr>
        <w:ind w:firstLine="446"/>
      </w:pPr>
      <w:r>
        <w:rPr>
          <w:rFonts w:ascii="Microsoft YaHei" w:hAnsi="Microsoft YaHei" w:eastAsia="Microsoft YaHei" w:cs="Microsoft YaHei"/>
          <w:b w:val="0"/>
          <w:i w:val="0"/>
          <w:sz w:val="22"/>
        </w:rPr>
        <w:t xml:space="preserve">为检验“预测性能与传输利用程度可能解耦”是否只发生在 DCT 内部，我们将同一审计问题应用于 MOTCat、CMTA 及 </w:t>
      </w:r>
      <w:r>
        <w:rPr>
          <w:rFonts w:ascii="Microsoft YaHei" w:hAnsi="Microsoft YaHei" w:eastAsia="Microsoft YaHei" w:cs="Microsoft YaHei"/>
          <w:b/>
          <w:i w:val="0"/>
          <w:sz w:val="22"/>
          <w:shd w:fill="FFF2CC"/>
        </w:rPr>
        <w:t>[占位：其他方法]</w:t>
      </w:r>
      <w:r>
        <w:rPr>
          <w:rFonts w:ascii="Microsoft YaHei" w:hAnsi="Microsoft YaHei" w:eastAsia="Microsoft YaHei" w:cs="Microsoft YaHei"/>
          <w:b w:val="0"/>
          <w:i w:val="0"/>
          <w:sz w:val="22"/>
        </w:rPr>
        <w:t>。适配时保留各方法的原始预测路径，仅对其显式耦合或最接近的跨模态交互量施加对应扰动；Plan TV 只对能够导出规范化计划的方法报告，对非 OT 方法标记为不适用。</w:t>
      </w:r>
      <w:r>
        <w:rPr>
          <w:rFonts w:ascii="Microsoft YaHei" w:hAnsi="Microsoft YaHei" w:eastAsia="Microsoft YaHei" w:cs="Microsoft YaHei"/>
          <w:b/>
          <w:i w:val="0"/>
          <w:sz w:val="22"/>
          <w:shd w:fill="FFF2CC"/>
        </w:rPr>
        <w:t>[占位：适配规则、超参数、公平性控制与结果表]</w:t>
      </w:r>
    </w:p>
    <w:p>
      <w:pPr>
        <w:ind w:firstLine="446"/>
      </w:pPr>
      <w:r>
        <w:rPr>
          <w:rFonts w:ascii="Microsoft YaHei" w:hAnsi="Microsoft YaHei" w:eastAsia="Microsoft YaHei" w:cs="Microsoft YaHei"/>
          <w:b w:val="0"/>
          <w:i w:val="0"/>
          <w:sz w:val="22"/>
        </w:rPr>
        <w:t>若某方法在保持较高 C-index 的同时，其方向响应接近预定义零假设水平，能够支持的结论仅是：在本文的干预与适配协议下，未检测到与风险方向一致的跨模态响应。该结果不能单独推出模型整体无效、完全未使用跨模态信息或不具备临床价值。</w:t>
      </w:r>
    </w:p>
    <w:p>
      <w:pPr>
        <w:pStyle w:val="Heading1"/>
        <w:keepNext/>
        <w:ind w:firstLine="0"/>
      </w:pPr>
      <w:r>
        <w:rPr>
          <w:rFonts w:ascii="Microsoft YaHei" w:hAnsi="Microsoft YaHei" w:eastAsia="Microsoft YaHei" w:cs="Microsoft YaHei"/>
          <w:b/>
          <w:i w:val="0"/>
          <w:color w:val="2E74B5"/>
          <w:sz w:val="32"/>
        </w:rPr>
        <w:t>5  讨论</w:t>
      </w:r>
    </w:p>
    <w:p>
      <w:pPr>
        <w:pStyle w:val="Heading2"/>
        <w:keepNext/>
        <w:ind w:firstLine="0"/>
      </w:pPr>
      <w:r>
        <w:rPr>
          <w:rFonts w:ascii="Microsoft YaHei" w:hAnsi="Microsoft YaHei" w:eastAsia="Microsoft YaHei" w:cs="Microsoft YaHei"/>
          <w:b/>
          <w:i w:val="0"/>
          <w:color w:val="2E74B5"/>
          <w:sz w:val="26"/>
        </w:rPr>
        <w:t>5.1  从性能比较到可证伪的机制审计</w:t>
      </w:r>
    </w:p>
    <w:p>
      <w:pPr>
        <w:ind w:firstLine="446"/>
      </w:pPr>
      <w:r>
        <w:rPr>
          <w:rFonts w:ascii="Microsoft YaHei" w:hAnsi="Microsoft YaHei" w:eastAsia="Microsoft YaHei" w:cs="Microsoft YaHei"/>
          <w:b w:val="0"/>
          <w:i w:val="0"/>
          <w:sz w:val="22"/>
        </w:rPr>
        <w:t>DCT 的核心贡献不是预设性能增益，而是把传输主张转化为可独立检验的机制命题。最终实验将检验预测性能与传输响应是否一致：</w:t>
      </w:r>
      <w:r>
        <w:rPr>
          <w:rFonts w:ascii="Microsoft YaHei" w:hAnsi="Microsoft YaHei" w:eastAsia="Microsoft YaHei" w:cs="Microsoft YaHei"/>
          <w:b/>
          <w:i w:val="0"/>
          <w:sz w:val="22"/>
          <w:shd w:fill="FFF2CC"/>
        </w:rPr>
        <w:t>[占位：根据 §4 的冻结结果概括二者关系]</w:t>
      </w:r>
      <w:r>
        <w:rPr>
          <w:rFonts w:ascii="Microsoft YaHei" w:hAnsi="Microsoft YaHei" w:eastAsia="Microsoft YaHei" w:cs="Microsoft YaHei"/>
          <w:b w:val="0"/>
          <w:i w:val="0"/>
          <w:sz w:val="22"/>
        </w:rPr>
        <w:t>。在结果归档前，本文不把“解耦”写成既成发现。</w:t>
      </w:r>
    </w:p>
    <w:p>
      <w:pPr>
        <w:ind w:firstLine="446"/>
      </w:pPr>
      <w:r>
        <w:rPr>
          <w:rFonts w:ascii="Microsoft YaHei" w:hAnsi="Microsoft YaHei" w:eastAsia="Microsoft YaHei" w:cs="Microsoft YaHei"/>
          <w:b w:val="0"/>
          <w:i w:val="0"/>
          <w:sz w:val="22"/>
        </w:rPr>
        <w:t>若高 C-index 与高 DCR、DMR 和 Plan TV 同时出现，只能说明预测表现与预定义传输响应相容；若 C-index 较高而审计指标接近零假设，则说明性能不能替代机制证据；若审计指标较高而 C-index 较低，则该机制响应尚未转化为有效排序。三种情形都要求分别报告，而不能用单一综合分数掩盖。</w:t>
      </w:r>
    </w:p>
    <w:p>
      <w:pPr>
        <w:ind w:firstLine="446"/>
      </w:pPr>
      <w:r>
        <w:rPr>
          <w:rFonts w:ascii="Microsoft YaHei" w:hAnsi="Microsoft YaHei" w:eastAsia="Microsoft YaHei" w:cs="Microsoft YaHei"/>
          <w:b w:val="0"/>
          <w:i w:val="0"/>
          <w:sz w:val="22"/>
        </w:rPr>
        <w:t>这一框架把讨论从“融合结构看起来是否合理”推进到“某个具体机制命题能否被否定”。低审计值表示在给定干预下未检测到相应响应，高审计值也只支持模型内部一致性；二者都不能直接外推到临床效用。正因为该检验采用了干预形式，下一节进一步说明它为何仍不构成患者层面的因果推断。</w:t>
      </w:r>
    </w:p>
    <w:p>
      <w:pPr>
        <w:pStyle w:val="Heading2"/>
        <w:keepNext/>
        <w:ind w:firstLine="0"/>
      </w:pPr>
      <w:r>
        <w:rPr>
          <w:rFonts w:ascii="Microsoft YaHei" w:hAnsi="Microsoft YaHei" w:eastAsia="Microsoft YaHei" w:cs="Microsoft YaHei"/>
          <w:b/>
          <w:i w:val="0"/>
          <w:color w:val="2E74B5"/>
          <w:sz w:val="26"/>
        </w:rPr>
        <w:t>5.2  为什么这不是因果推断</w:t>
      </w:r>
    </w:p>
    <w:p>
      <w:pPr>
        <w:ind w:firstLine="446"/>
      </w:pPr>
      <w:r>
        <w:rPr>
          <w:rFonts w:ascii="Microsoft YaHei" w:hAnsi="Microsoft YaHei" w:eastAsia="Microsoft YaHei" w:cs="Microsoft YaHei"/>
          <w:b w:val="0"/>
          <w:i w:val="0"/>
          <w:sz w:val="22"/>
        </w:rPr>
        <w:t>DCT 的干预机制在形式上与因果推断相似，但在对象、目标量和有效范围上有本质区别。以下三点主动澄清其结论边界。</w:t>
      </w:r>
    </w:p>
    <w:p>
      <w:pPr>
        <w:ind w:firstLine="446"/>
      </w:pPr>
      <w:r>
        <w:rPr>
          <w:rFonts w:ascii="Microsoft YaHei" w:hAnsi="Microsoft YaHei" w:eastAsia="Microsoft YaHei" w:cs="Microsoft YaHei"/>
          <w:b/>
          <w:i w:val="0"/>
          <w:sz w:val="22"/>
        </w:rPr>
        <w:t>干预了什么？</w:t>
      </w:r>
      <w:r>
        <w:rPr>
          <w:rFonts w:ascii="Microsoft YaHei" w:hAnsi="Microsoft YaHei" w:eastAsia="Microsoft YaHei" w:cs="Microsoft YaHei"/>
          <w:b w:val="0"/>
          <w:i w:val="0"/>
          <w:sz w:val="22"/>
        </w:rPr>
        <w:t xml:space="preserve"> DCT 改变的是冻结模型内的代价张量 </w:t>
      </w:r>
      <m:oMath>
        <m:r>
          <m:t>C</m:t>
        </m:r>
      </m:oMath>
      <w:r>
        <w:rPr>
          <w:rFonts w:ascii="Microsoft YaHei" w:hAnsi="Microsoft YaHei" w:eastAsia="Microsoft YaHei" w:cs="Microsoft YaHei"/>
          <w:b w:val="0"/>
          <w:i w:val="0"/>
          <w:sz w:val="22"/>
        </w:rPr>
        <w:t>，不是患者特征、治疗或暴露。输入病例和参数保持不变，变化仅发生在模型内部的代价—计划路径。</w:t>
      </w:r>
    </w:p>
    <w:p>
      <w:pPr>
        <w:ind w:firstLine="446"/>
      </w:pPr>
      <w:r>
        <w:rPr>
          <w:rFonts w:ascii="Microsoft YaHei" w:hAnsi="Microsoft YaHei" w:eastAsia="Microsoft YaHei" w:cs="Microsoft YaHei"/>
          <w:b/>
          <w:i w:val="0"/>
          <w:sz w:val="22"/>
        </w:rPr>
        <w:t>估计了什么？</w:t>
      </w:r>
      <w:r>
        <w:rPr>
          <w:rFonts w:ascii="Microsoft YaHei" w:hAnsi="Microsoft YaHei" w:eastAsia="Microsoft YaHei" w:cs="Microsoft YaHei"/>
          <w:b w:val="0"/>
          <w:i w:val="0"/>
          <w:sz w:val="22"/>
        </w:rPr>
        <w:t xml:space="preserve"> DCT 计算的是代价扰动引起的风险敏感性、方向一致率和计划重构量，不是平均治疗效应或条件平均治疗效应。因而，任何锚点方向都不能解释为临床干预方案。</w:t>
      </w:r>
    </w:p>
    <w:p>
      <w:pPr>
        <w:ind w:firstLine="446"/>
      </w:pPr>
      <w:r>
        <w:rPr>
          <w:rFonts w:ascii="Microsoft YaHei" w:hAnsi="Microsoft YaHei" w:eastAsia="Microsoft YaHei" w:cs="Microsoft YaHei"/>
          <w:b/>
          <w:i w:val="0"/>
          <w:sz w:val="22"/>
        </w:rPr>
        <w:t>结论适用于哪里？</w:t>
      </w:r>
      <w:r>
        <w:rPr>
          <w:rFonts w:ascii="Microsoft YaHei" w:hAnsi="Microsoft YaHei" w:eastAsia="Microsoft YaHei" w:cs="Microsoft YaHei"/>
          <w:b w:val="0"/>
          <w:i w:val="0"/>
          <w:sz w:val="22"/>
        </w:rPr>
        <w:t xml:space="preserve"> 审计通过只支持当前模型、同分布数据和预定义干预协议下的内部一致性；它不识别未测混杂，不回答患者反事实，也不保证跨机构有效。这个较窄的边界并非弱化 DCT，而是使其在不附加不可验证因果假设的前提下给出清晰、可证伪的模型机制命题。</w:t>
      </w:r>
    </w:p>
    <w:p>
      <w:pPr>
        <w:pStyle w:val="Heading2"/>
        <w:keepNext/>
        <w:ind w:firstLine="0"/>
      </w:pPr>
      <w:r>
        <w:rPr>
          <w:rFonts w:ascii="Microsoft YaHei" w:hAnsi="Microsoft YaHei" w:eastAsia="Microsoft YaHei" w:cs="Microsoft YaHei"/>
          <w:b/>
          <w:i w:val="0"/>
          <w:color w:val="2E74B5"/>
          <w:sz w:val="26"/>
        </w:rPr>
        <w:t>5.3  局限性与未来方向</w:t>
      </w:r>
    </w:p>
    <w:p>
      <w:pPr>
        <w:ind w:firstLine="446"/>
      </w:pPr>
      <w:r>
        <w:rPr>
          <w:rFonts w:ascii="Microsoft YaHei" w:hAnsi="Microsoft YaHei" w:eastAsia="Microsoft YaHei" w:cs="Microsoft YaHei"/>
          <w:b w:val="0"/>
          <w:i w:val="0"/>
          <w:sz w:val="22"/>
        </w:rPr>
        <w:t>DCT 的证据链仍有五类限制。第一，训练折锚点和 IPCW 依赖删失建模，在事件数少、删失重或样本量小时可能具有较大方差。第二，传输计划与其他分支共享编码表示，风险共响应可能抬高 DCR，现有设计不能识别运输的独立贡献。第三，数值阈值与指标不确定性尚需通过折间置信区间、患者级重采样或预注册阈值校准。第四，当前结论只针对同分布设定，跨机构使用前需要重新估计分箱、删失分布和锚点并完成外部验证。第五，框架天然适用于显式 OT；迁移到 attention 或其他非规范化交互结构时，必须重新定义干预点与计划级距离。</w:t>
      </w:r>
    </w:p>
    <w:p>
      <w:pPr>
        <w:ind w:firstLine="446"/>
      </w:pPr>
      <w:r>
        <w:rPr>
          <w:rFonts w:ascii="Microsoft YaHei" w:hAnsi="Microsoft YaHei" w:eastAsia="Microsoft YaHei" w:cs="Microsoft YaHei"/>
          <w:b w:val="0"/>
          <w:i w:val="0"/>
          <w:sz w:val="22"/>
        </w:rPr>
        <w:t>未来工作应逐项对应这些限制：评估锚点收缩与不确定性传播，设计能够隔离共享表示共响应的对照，完成跨机构重校准，并为非 OT 交互建立与其数学结构一致的审计量。在这些证据补齐前，DCT 的价值不在于给出跨场景不变的机制分数，而在于把原本无法核验的传输主张转化为带有适用边界的可证伪命题。</w:t>
      </w:r>
    </w:p>
    <w:p>
      <w:pPr>
        <w:pStyle w:val="Heading1"/>
        <w:keepNext/>
        <w:ind w:firstLine="0"/>
      </w:pPr>
      <w:r>
        <w:rPr>
          <w:rFonts w:ascii="Microsoft YaHei" w:hAnsi="Microsoft YaHei" w:eastAsia="Microsoft YaHei" w:cs="Microsoft YaHei"/>
          <w:b/>
          <w:i w:val="0"/>
          <w:color w:val="2E74B5"/>
          <w:sz w:val="32"/>
        </w:rPr>
        <w:t>6  结论</w:t>
      </w:r>
    </w:p>
    <w:p>
      <w:pPr>
        <w:ind w:firstLine="446"/>
      </w:pPr>
      <w:r>
        <w:rPr>
          <w:rFonts w:ascii="Microsoft YaHei" w:hAnsi="Microsoft YaHei" w:eastAsia="Microsoft YaHei" w:cs="Microsoft YaHei"/>
          <w:b w:val="0"/>
          <w:i w:val="0"/>
          <w:sz w:val="22"/>
        </w:rPr>
        <w:t>当多模态生存模型声称其跨模态传输具有预后意义时，这一主张应成为可独立检验的实验命题，而不能由最终预测性能代替证明。DCT 为此提供了一条完整路径：利用训练折内的删失感知风险集构造代价锚点，在冻结模型内实施方向一致的受控干预，重新求解传输计划，并以 DCR、DMR、Plan TV 及零假设对照记录风险响应。</w:t>
      </w:r>
    </w:p>
    <w:p>
      <w:pPr>
        <w:ind w:firstLine="446"/>
      </w:pPr>
      <w:r>
        <w:rPr>
          <w:rFonts w:ascii="Microsoft YaHei" w:hAnsi="Microsoft YaHei" w:eastAsia="Microsoft YaHei" w:cs="Microsoft YaHei"/>
          <w:b w:val="0"/>
          <w:i w:val="0"/>
          <w:sz w:val="22"/>
        </w:rPr>
        <w:t>在六个 TCGA 队列上，</w:t>
      </w:r>
      <w:r>
        <w:rPr>
          <w:rFonts w:ascii="Microsoft YaHei" w:hAnsi="Microsoft YaHei" w:eastAsia="Microsoft YaHei" w:cs="Microsoft YaHei"/>
          <w:b/>
          <w:i w:val="0"/>
          <w:sz w:val="22"/>
          <w:shd w:fill="FFF2CC"/>
        </w:rPr>
        <w:t>[占位：一句预测性能总结]</w:t>
      </w:r>
      <w:r>
        <w:rPr>
          <w:rFonts w:ascii="Microsoft YaHei" w:hAnsi="Microsoft YaHei" w:eastAsia="Microsoft YaHei" w:cs="Microsoft YaHei"/>
          <w:b w:val="0"/>
          <w:i w:val="0"/>
          <w:sz w:val="22"/>
        </w:rPr>
        <w:t>；机制审计显示，</w:t>
      </w:r>
      <w:r>
        <w:rPr>
          <w:rFonts w:ascii="Microsoft YaHei" w:hAnsi="Microsoft YaHei" w:eastAsia="Microsoft YaHei" w:cs="Microsoft YaHei"/>
          <w:b/>
          <w:i w:val="0"/>
          <w:sz w:val="22"/>
          <w:shd w:fill="FFF2CC"/>
        </w:rPr>
        <w:t>[占位：DCR、DMR、Plan TV 与零假设的核心结果]</w:t>
      </w:r>
      <w:r>
        <w:rPr>
          <w:rFonts w:ascii="Microsoft YaHei" w:hAnsi="Microsoft YaHei" w:eastAsia="Microsoft YaHei" w:cs="Microsoft YaHei"/>
          <w:b w:val="0"/>
          <w:i w:val="0"/>
          <w:sz w:val="22"/>
        </w:rPr>
        <w:t>。这些结果能够支持的结论限于：在同分布、冻结模型和预定义代价干预下，传输链条是否呈现与生存方向一致且可证伪的内部响应；它们不识别患者级治疗效应，也不保证跨机构有效性。</w:t>
      </w:r>
    </w:p>
    <w:p>
      <w:pPr>
        <w:ind w:firstLine="446"/>
      </w:pPr>
      <w:r>
        <w:rPr>
          <w:rFonts w:ascii="Microsoft YaHei" w:hAnsi="Microsoft YaHei" w:eastAsia="Microsoft YaHei" w:cs="Microsoft YaHei"/>
          <w:b w:val="0"/>
          <w:i w:val="0"/>
          <w:sz w:val="22"/>
        </w:rPr>
        <w:t>因此，DCT 的核心贡献不是再增加一个未经机制核验的性能数字，而是把“所声称的传输链是否呈现可检测响应”转化为可以被测量、被对照并在失败时被否定的问题。</w:t>
      </w:r>
    </w:p>
    <w:p>
      <w:pPr>
        <w:pStyle w:val="Heading1"/>
        <w:keepNext/>
        <w:ind w:firstLine="0"/>
      </w:pPr>
      <w:r>
        <w:rPr>
          <w:rFonts w:ascii="Microsoft YaHei" w:hAnsi="Microsoft YaHei" w:eastAsia="Microsoft YaHei" w:cs="Microsoft YaHei"/>
          <w:b/>
          <w:i w:val="0"/>
          <w:color w:val="2E74B5"/>
          <w:sz w:val="32"/>
        </w:rPr>
        <w:t>附录 A  图片清单、插入位置与证据状态</w:t>
      </w:r>
    </w:p>
    <w:p>
      <w:pPr>
        <w:ind w:firstLine="446"/>
      </w:pPr>
      <w:r>
        <w:rPr>
          <w:rFonts w:ascii="Microsoft YaHei" w:hAnsi="Microsoft YaHei" w:eastAsia="Microsoft YaHei" w:cs="Microsoft YaHei"/>
          <w:b w:val="0"/>
          <w:i w:val="0"/>
          <w:sz w:val="22"/>
        </w:rPr>
        <w:t>本附录记录全篇图片的叙事职责、正式插入位置和证据门。Figure 1 与 Figure 2 是概念/方法图，不包含实验结论；Figure 3、Figure 4、Figure S1 与 Figure S2 只有在对应原始证据归档后才能解除占位。所有正式图应同时保留可编辑矢量源文件、投稿尺寸 PDF/SVG 与高分辨率 PNG。</w:t>
      </w:r>
    </w:p>
    <w:p>
      <w:pPr>
        <w:pStyle w:val="Heading2"/>
        <w:keepNext/>
        <w:ind w:firstLine="0"/>
      </w:pPr>
      <w:r>
        <w:rPr>
          <w:rFonts w:ascii="Microsoft YaHei" w:hAnsi="Microsoft YaHei" w:eastAsia="Microsoft YaHei" w:cs="Microsoft YaHei"/>
          <w:b/>
          <w:i w:val="0"/>
          <w:color w:val="2E74B5"/>
          <w:sz w:val="26"/>
        </w:rPr>
        <w:t>Figure 1　Passenger or Driver？可证伪预后传输审计（位置：§1 引言）</w:t>
      </w:r>
    </w:p>
    <w:p>
      <w:pPr>
        <w:ind w:firstLine="446"/>
      </w:pPr>
      <w:r>
        <w:rPr>
          <w:rFonts w:ascii="Microsoft YaHei" w:hAnsi="Microsoft YaHei" w:eastAsia="Microsoft YaHei" w:cs="Microsoft YaHei"/>
          <w:b w:val="0"/>
          <w:i w:val="0"/>
          <w:sz w:val="22"/>
        </w:rPr>
        <w:t>Figure 1 回答“为什么仅有 C-index 与表面合理的运输图仍不足以证明机制生效”。Panel A 概括常规预测和可视化证据；Panel B 区分可被风险路径绕过的 passenger transport 与对代价扰动产生系统响应的 active transport；Panel C 概括训练折风险锚点、受控代价干预、重求解、共享风险读取、DCR/DMR/Plan TV 和零假设。</w:t>
      </w:r>
    </w:p>
    <w:p>
      <w:pPr>
        <w:ind w:firstLine="446"/>
      </w:pPr>
      <w:r>
        <w:rPr>
          <w:rFonts w:ascii="Microsoft YaHei" w:hAnsi="Microsoft YaHei" w:eastAsia="Microsoft YaHei" w:cs="Microsoft YaHei"/>
          <w:b w:val="0"/>
          <w:i w:val="0"/>
          <w:sz w:val="22"/>
        </w:rPr>
        <w:t>该图属于概念图，箭头和曲线不表示真实结果。正式投稿前必须将图内锚点说明校正为删失感知的训练折风险锚点，并将 targeted nulls 与 §3.10 对齐为风险参考、阶段结构和固定耦合三类对照。</w:t>
      </w:r>
    </w:p>
    <w:p>
      <w:pPr>
        <w:pStyle w:val="Heading2"/>
        <w:keepNext/>
        <w:ind w:firstLine="0"/>
      </w:pPr>
      <w:r>
        <w:rPr>
          <w:rFonts w:ascii="Microsoft YaHei" w:hAnsi="Microsoft YaHei" w:eastAsia="Microsoft YaHei" w:cs="Microsoft YaHei"/>
          <w:b/>
          <w:i w:val="0"/>
          <w:color w:val="2E74B5"/>
          <w:sz w:val="26"/>
        </w:rPr>
        <w:t>Figure 2　DCT 网络架构（位置：§3.1 之后、§3.2 之前）</w:t>
      </w:r>
    </w:p>
    <w:p>
      <w:pPr>
        <w:ind w:firstLine="446"/>
      </w:pPr>
      <w:r>
        <w:rPr>
          <w:rFonts w:ascii="Microsoft YaHei" w:hAnsi="Microsoft YaHei" w:eastAsia="Microsoft YaHei" w:cs="Microsoft YaHei"/>
          <w:b w:val="0"/>
          <w:i w:val="0"/>
          <w:sz w:val="22"/>
        </w:rPr>
        <w:t xml:space="preserve">Figure 2 回答“DCT 如何从病理与组学计算风险”。Panel A 展示双模态局部编码与 </w:t>
      </w:r>
      <m:oMath>
        <m:sSub>
          <m:e>
            <m:r>
              <m:t>K</m:t>
            </m:r>
          </m:e>
          <m:sub>
            <m:r>
              <m:t>w</m:t>
            </m:r>
          </m:sub>
        </m:sSub>
        <m:r>
          <m:t>=</m:t>
        </m:r>
        <m:sSub>
          <m:e>
            <m:r>
              <m:t>K</m:t>
            </m:r>
          </m:e>
          <m:sub>
            <m:r>
              <m:t>o</m:t>
            </m:r>
          </m:sub>
        </m:sSub>
        <m:r>
          <m:t>=8</m:t>
        </m:r>
      </m:oMath>
      <w:r>
        <w:rPr>
          <w:rFonts w:ascii="Microsoft YaHei" w:hAnsi="Microsoft YaHei" w:eastAsia="Microsoft YaHei" w:cs="Microsoft YaHei"/>
          <w:b w:val="0"/>
          <w:i w:val="0"/>
          <w:sz w:val="22"/>
        </w:rPr>
        <w:t xml:space="preserve"> 个共享语义坐标；Panel B 展示 </w:t>
      </w:r>
      <m:oMath>
        <m:r>
          <m:t>S=4</m:t>
        </m:r>
      </m:oMath>
      <w:r>
        <w:rPr>
          <w:rFonts w:ascii="Microsoft YaHei" w:hAnsi="Microsoft YaHei" w:eastAsia="Microsoft YaHei" w:cs="Microsoft YaHei"/>
          <w:b w:val="0"/>
          <w:i w:val="0"/>
          <w:sz w:val="22"/>
        </w:rPr>
        <w:t xml:space="preserve"> 个阶段、</w:t>
      </w:r>
      <m:oMath>
        <m:r>
          <m:t>G=3</m:t>
        </m:r>
      </m:oMath>
      <w:r>
        <w:rPr>
          <w:rFonts w:ascii="Microsoft YaHei" w:hAnsi="Microsoft YaHei" w:eastAsia="Microsoft YaHei" w:cs="Microsoft YaHei"/>
          <w:b w:val="0"/>
          <w:i w:val="0"/>
          <w:sz w:val="22"/>
        </w:rPr>
        <w:t xml:space="preserve"> 种独立几何、证据门边际和逐阶段—几何 Sinkhorn；Panel C 展示十二个运输计划如何形成运输事件 token，并经共享 Transformer、hazard 头与事件门读取风险；Panel D 展示低/高风险锚点如何修改代价、复用原边际、重新求解计划并通过同一风险读取器得到干预风险。</w:t>
      </w:r>
    </w:p>
    <w:p>
      <w:pPr>
        <w:ind w:firstLine="446"/>
      </w:pPr>
      <w:r>
        <w:rPr>
          <w:rFonts w:ascii="Microsoft YaHei" w:hAnsi="Microsoft YaHei" w:eastAsia="Microsoft YaHei" w:cs="Microsoft YaHei"/>
          <w:b w:val="0"/>
          <w:i w:val="0"/>
          <w:sz w:val="22"/>
        </w:rPr>
        <w:t>图中不得出现加性预测头、三几何平均、证据门附加代价或逐边精确风险归因。</w:t>
      </w:r>
    </w:p>
    <w:p>
      <w:pPr>
        <w:pStyle w:val="Heading2"/>
        <w:keepNext/>
        <w:ind w:firstLine="0"/>
      </w:pPr>
      <w:r>
        <w:rPr>
          <w:rFonts w:ascii="Microsoft YaHei" w:hAnsi="Microsoft YaHei" w:eastAsia="Microsoft YaHei" w:cs="Microsoft YaHei"/>
          <w:b/>
          <w:i w:val="0"/>
          <w:color w:val="2E74B5"/>
          <w:sz w:val="26"/>
        </w:rPr>
        <w:t>Figure 3　预测性能与传输响应的关系（位置：§4.2）</w:t>
      </w:r>
    </w:p>
    <w:p>
      <w:pPr>
        <w:ind w:firstLine="446"/>
      </w:pPr>
      <w:r>
        <w:rPr>
          <w:rFonts w:ascii="Microsoft YaHei" w:hAnsi="Microsoft YaHei" w:eastAsia="Microsoft YaHei" w:cs="Microsoft YaHei"/>
          <w:b w:val="0"/>
          <w:i w:val="0"/>
          <w:sz w:val="22"/>
        </w:rPr>
        <w:t xml:space="preserve">Panel A 使用点估计、置信区间与折级散点展示 UCEC、KIRC、BLCA、HNSC、SKCM 和 LUSC 上 DCT 与预定义基线的 C-index。Panel B 对比 </w:t>
      </w:r>
      <m:oMath>
        <m:sSub>
          <m:e>
            <m:r>
              <m:t>λ</m:t>
            </m:r>
          </m:e>
          <m:sub>
            <m:r>
              <m:rPr>
                <m:sty m:val="p"/>
              </m:rPr>
              <m:t>dir</m:t>
            </m:r>
          </m:sub>
        </m:sSub>
        <m:r>
          <m:t>=0</m:t>
        </m:r>
      </m:oMath>
      <w:r>
        <w:rPr>
          <w:rFonts w:ascii="Microsoft YaHei" w:hAnsi="Microsoft YaHei" w:eastAsia="Microsoft YaHei" w:cs="Microsoft YaHei"/>
          <w:b w:val="0"/>
          <w:i w:val="0"/>
          <w:sz w:val="22"/>
        </w:rPr>
        <w:t xml:space="preserve"> 与冻结 DCT-Reg 的 </w:t>
      </w:r>
      <m:oMath>
        <m:sSub>
          <m:e>
            <m:r>
              <m:t>λ</m:t>
            </m:r>
          </m:e>
          <m:sub>
            <m:r>
              <m:rPr>
                <m:sty m:val="p"/>
              </m:rPr>
              <m:t>dir</m:t>
            </m:r>
          </m:sub>
        </m:sSub>
        <m:r>
          <m:t>=0.05</m:t>
        </m:r>
      </m:oMath>
      <w:r>
        <w:rPr>
          <w:rFonts w:ascii="Microsoft YaHei" w:hAnsi="Microsoft YaHei" w:eastAsia="Microsoft YaHei" w:cs="Microsoft YaHei"/>
          <w:b w:val="0"/>
          <w:i w:val="0"/>
          <w:sz w:val="22"/>
        </w:rPr>
        <w:t>，联合报告 C-index、DCR、DMR 与 Plan TV，用于检验预测判别力和传输响应是否可能不同。</w:t>
      </w:r>
    </w:p>
    <w:p>
      <w:pPr>
        <w:ind w:firstLine="446"/>
      </w:pPr>
      <w:r>
        <w:rPr>
          <w:rFonts w:ascii="Microsoft YaHei" w:hAnsi="Microsoft YaHei" w:eastAsia="Microsoft YaHei" w:cs="Microsoft YaHei"/>
          <w:b w:val="0"/>
          <w:i w:val="0"/>
          <w:sz w:val="22"/>
        </w:rPr>
        <w:t>正式绘图前必须归档逐折患者预测、配置、划分哈希、检查点、日志、代码版本、汇总脚本与不确定性规则。在证据冻结前不得标注“全面优于”“SOTA”或预设性能—机制解耦已经发生。</w:t>
      </w:r>
    </w:p>
    <w:p>
      <w:pPr>
        <w:pStyle w:val="Heading2"/>
        <w:keepNext/>
        <w:ind w:firstLine="0"/>
      </w:pPr>
      <w:r>
        <w:rPr>
          <w:rFonts w:ascii="Microsoft YaHei" w:hAnsi="Microsoft YaHei" w:eastAsia="Microsoft YaHei" w:cs="Microsoft YaHei"/>
          <w:b/>
          <w:i w:val="0"/>
          <w:color w:val="2E74B5"/>
          <w:sz w:val="26"/>
        </w:rPr>
        <w:t>Figure 4　传输预后活性与针对性零假设（位置：§4.3–§4.4）</w:t>
      </w:r>
    </w:p>
    <w:p>
      <w:pPr>
        <w:ind w:firstLine="446"/>
      </w:pPr>
      <w:r>
        <w:rPr>
          <w:rFonts w:ascii="Microsoft YaHei" w:hAnsi="Microsoft YaHei" w:eastAsia="Microsoft YaHei" w:cs="Microsoft YaHei"/>
          <w:b w:val="0"/>
          <w:i w:val="0"/>
          <w:sz w:val="22"/>
        </w:rPr>
        <w:t>Figure 4 应用分面点—区间图而非只填数值的热图。Panel A–C 分别报告 DCR、DMR 和 Plan TV 的癌种级估计、折级分布与不确定性；Panel D 比较完整模型、风险参考零假设、阶段边界扰动和固定耦合，并报告完整重求解相对固定耦合的预定义差值。</w:t>
      </w:r>
    </w:p>
    <w:p>
      <w:pPr>
        <w:ind w:firstLine="446"/>
      </w:pPr>
      <w:r>
        <w:rPr>
          <w:rFonts w:ascii="Microsoft YaHei" w:hAnsi="Microsoft YaHei" w:eastAsia="Microsoft YaHei" w:cs="Microsoft YaHei"/>
          <w:b w:val="0"/>
          <w:i w:val="0"/>
          <w:sz w:val="22"/>
        </w:rPr>
        <w:t xml:space="preserve">DCR 的随机符号参照为 </w:t>
      </w:r>
      <m:oMath>
        <m:r>
          <m:t>0.5</m:t>
        </m:r>
      </m:oMath>
      <w:r>
        <w:rPr>
          <w:rFonts w:ascii="Microsoft YaHei" w:hAnsi="Microsoft YaHei" w:eastAsia="Microsoft YaHei" w:cs="Microsoft YaHei"/>
          <w:b w:val="0"/>
          <w:i w:val="0"/>
          <w:sz w:val="22"/>
        </w:rPr>
        <w:t xml:space="preserve">，不是 </w:t>
      </w:r>
      <m:oMath>
        <m:r>
          <m:t>0.25</m:t>
        </m:r>
      </m:oMath>
      <w:r>
        <w:rPr>
          <w:rFonts w:ascii="Microsoft YaHei" w:hAnsi="Microsoft YaHei" w:eastAsia="Microsoft YaHei" w:cs="Microsoft YaHei"/>
          <w:b w:val="0"/>
          <w:i w:val="0"/>
          <w:sz w:val="22"/>
        </w:rPr>
        <w:t xml:space="preserve"> 或 </w:t>
      </w:r>
      <m:oMath>
        <m:r>
          <m:t>0.30</m:t>
        </m:r>
      </m:oMath>
      <w:r>
        <w:rPr>
          <w:rFonts w:ascii="Microsoft YaHei" w:hAnsi="Microsoft YaHei" w:eastAsia="Microsoft YaHei" w:cs="Microsoft YaHei"/>
          <w:b w:val="0"/>
          <w:i w:val="0"/>
          <w:sz w:val="22"/>
        </w:rPr>
        <w:t>；DMR 仅检查高风险五点路径的严格递增；Plan TV 必须直接由事实与干预计划计算，cost-distance proxy 不得替代。外部非 OT 方法没有规范化计划时应标记 N/A，而不是填零。</w:t>
      </w:r>
    </w:p>
    <w:p>
      <w:pPr>
        <w:pStyle w:val="Heading2"/>
        <w:keepNext/>
        <w:ind w:firstLine="0"/>
      </w:pPr>
      <w:r>
        <w:rPr>
          <w:rFonts w:ascii="Microsoft YaHei" w:hAnsi="Microsoft YaHei" w:eastAsia="Microsoft YaHei" w:cs="Microsoft YaHei"/>
          <w:b/>
          <w:i w:val="0"/>
          <w:color w:val="2E74B5"/>
          <w:sz w:val="26"/>
        </w:rPr>
        <w:t>Figure S1　单患者事实—干预运输轨迹（位置：补充材料，§4.3 引用）</w:t>
      </w:r>
    </w:p>
    <w:p>
      <w:pPr>
        <w:ind w:firstLine="446"/>
      </w:pPr>
      <w:r>
        <w:rPr>
          <w:rFonts w:ascii="Microsoft YaHei" w:hAnsi="Microsoft YaHei" w:eastAsia="Microsoft YaHei" w:cs="Microsoft YaHei"/>
          <w:b w:val="0"/>
          <w:i w:val="0"/>
          <w:sz w:val="22"/>
        </w:rPr>
        <w:t xml:space="preserve">上排使用完全相同的 WSI 槽 × 组学槽坐标与色标展示 </w:t>
      </w:r>
      <m:oMath>
        <m:sSup>
          <m:e>
            <m:r>
              <m:t>Π</m:t>
            </m:r>
          </m:e>
          <m:sup>
            <m:r>
              <m:t>0</m:t>
            </m:r>
          </m:sup>
        </m:sSup>
      </m:oMath>
      <w:r>
        <w:rPr>
          <w:rFonts w:ascii="Microsoft YaHei" w:hAnsi="Microsoft YaHei" w:eastAsia="Microsoft YaHei" w:cs="Microsoft YaHei"/>
          <w:b w:val="0"/>
          <w:i w:val="0"/>
          <w:sz w:val="22"/>
        </w:rPr>
        <w:t>、</w:t>
      </w:r>
      <m:oMath>
        <m:sSubSup>
          <m:e>
            <m:r>
              <m:t>Π</m:t>
            </m:r>
          </m:e>
          <m:sub>
            <m:r>
              <m:t>1</m:t>
            </m:r>
          </m:sub>
          <m:sup>
            <m:r>
              <m:t>L</m:t>
            </m:r>
          </m:sup>
        </m:sSubSup>
      </m:oMath>
      <w:r>
        <w:rPr>
          <w:rFonts w:ascii="Microsoft YaHei" w:hAnsi="Microsoft YaHei" w:eastAsia="Microsoft YaHei" w:cs="Microsoft YaHei"/>
          <w:b w:val="0"/>
          <w:i w:val="0"/>
          <w:sz w:val="22"/>
        </w:rPr>
        <w:t xml:space="preserve"> 和 </w:t>
      </w:r>
      <m:oMath>
        <m:sSubSup>
          <m:e>
            <m:r>
              <m:t>Π</m:t>
            </m:r>
          </m:e>
          <m:sub>
            <m:r>
              <m:t>1</m:t>
            </m:r>
          </m:sub>
          <m:sup>
            <m:r>
              <m:t>H</m:t>
            </m:r>
          </m:sup>
        </m:sSubSup>
      </m:oMath>
      <w:r>
        <w:rPr>
          <w:rFonts w:ascii="Microsoft YaHei" w:hAnsi="Microsoft YaHei" w:eastAsia="Microsoft YaHei" w:cs="Microsoft YaHei"/>
          <w:b w:val="0"/>
          <w:i w:val="0"/>
          <w:sz w:val="22"/>
        </w:rPr>
        <w:t xml:space="preserve">；下排展示高风险 </w:t>
      </w:r>
      <m:oMath>
        <m:r>
          <m:t>α∈{0,0.25,0.5,0.75,1}</m:t>
        </m:r>
      </m:oMath>
      <w:r>
        <w:rPr>
          <w:rFonts w:ascii="Microsoft YaHei" w:hAnsi="Microsoft YaHei" w:eastAsia="Microsoft YaHei" w:cs="Microsoft YaHei"/>
          <w:b w:val="0"/>
          <w:i w:val="0"/>
          <w:sz w:val="22"/>
        </w:rPr>
        <w:t xml:space="preserve"> 路径，可选补充低风险路径，并标记该病例的 DCR、DMR 与 Plan TV。病例选择规则必须预先规定，至少同时展示一个代表响应病例与一个审计失败病例，不能只挑视觉上最漂亮的样本。</w:t>
      </w:r>
    </w:p>
    <w:p>
      <w:pPr>
        <w:ind w:firstLine="446"/>
      </w:pPr>
      <w:r>
        <w:rPr>
          <w:rFonts w:ascii="Microsoft YaHei" w:hAnsi="Microsoft YaHei" w:eastAsia="Microsoft YaHei" w:cs="Microsoft YaHei"/>
          <w:b w:val="0"/>
          <w:i w:val="0"/>
          <w:sz w:val="22"/>
        </w:rPr>
        <w:t>在事实与干预计划尚未导出前，本图不得以模拟热图或平滑曲线冒充患者结果。</w:t>
      </w:r>
    </w:p>
    <w:p>
      <w:pPr>
        <w:pStyle w:val="Heading2"/>
        <w:keepNext/>
        <w:ind w:firstLine="0"/>
      </w:pPr>
      <w:r>
        <w:rPr>
          <w:rFonts w:ascii="Microsoft YaHei" w:hAnsi="Microsoft YaHei" w:eastAsia="Microsoft YaHei" w:cs="Microsoft YaHei"/>
          <w:b/>
          <w:i w:val="0"/>
          <w:color w:val="2E74B5"/>
          <w:sz w:val="26"/>
        </w:rPr>
        <w:t>Figure S2　阶段 × 几何响应分解（位置：补充材料）</w:t>
      </w:r>
    </w:p>
    <w:p>
      <w:pPr>
        <w:ind w:firstLine="446"/>
      </w:pPr>
      <w:r>
        <w:rPr>
          <w:rFonts w:ascii="Microsoft YaHei" w:hAnsi="Microsoft YaHei" w:eastAsia="Microsoft YaHei" w:cs="Microsoft YaHei"/>
          <w:b w:val="0"/>
          <w:i w:val="0"/>
          <w:sz w:val="22"/>
        </w:rPr>
        <w:t xml:space="preserve">以 </w:t>
      </w:r>
      <m:oMath>
        <m:r>
          <m:t>4</m:t>
        </m:r>
      </m:oMath>
      <w:r>
        <w:rPr>
          <w:rFonts w:ascii="Microsoft YaHei" w:hAnsi="Microsoft YaHei" w:eastAsia="Microsoft YaHei" w:cs="Microsoft YaHei"/>
          <w:b w:val="0"/>
          <w:i w:val="0"/>
          <w:sz w:val="22"/>
        </w:rPr>
        <w:t xml:space="preserve"> 个生存阶段 × </w:t>
      </w:r>
      <m:oMath>
        <m:r>
          <m:t>3</m:t>
        </m:r>
      </m:oMath>
      <w:r>
        <w:rPr>
          <w:rFonts w:ascii="Microsoft YaHei" w:hAnsi="Microsoft YaHei" w:eastAsia="Microsoft YaHei" w:cs="Microsoft YaHei"/>
          <w:b w:val="0"/>
          <w:i w:val="0"/>
          <w:sz w:val="22"/>
        </w:rPr>
        <w:t xml:space="preserve"> 种几何组成矩阵式小图，分解阶段特异和几何特异的 Plan TV、风险响应或干预敏感性。该图用于判断十二个运输问题是否具有异质响应，不承担主结论，也不能在缺少阶段—几何级真实计划时制作。</w:t>
      </w:r>
    </w:p>
    <w:p>
      <w:pPr>
        <w:pStyle w:val="Heading1"/>
        <w:keepNext/>
        <w:ind w:firstLine="0"/>
      </w:pPr>
      <w:r>
        <w:rPr>
          <w:rFonts w:ascii="Microsoft YaHei" w:hAnsi="Microsoft YaHei" w:eastAsia="Microsoft YaHei" w:cs="Microsoft YaHei"/>
          <w:b/>
          <w:i w:val="0"/>
          <w:color w:val="2E74B5"/>
          <w:sz w:val="32"/>
        </w:rPr>
        <w:t>附录 B  冻结配方完整规格</w:t>
      </w: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2500"/>
        <w:gridCol w:w="6860"/>
      </w:tblGrid>
      <w:tr>
        <w:trPr>
          <w:cantSplit/>
          <w:tblHeader w:val="true"/>
        </w:trPr>
        <w:tc>
          <w:tcPr>
            <w:tcW w:type="dxa" w:w="250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参数</w:t>
            </w:r>
          </w:p>
        </w:tc>
        <w:tc>
          <w:tcPr>
            <w:tcW w:type="dxa" w:w="686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取值</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病理编码器</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UNI2-h（</w:t>
            </w:r>
            <m:oMath>
              <m:sSub>
                <m:e>
                  <m:r>
                    <m:t>D</m:t>
                  </m:r>
                </m:e>
                <m:sub>
                  <m:r>
                    <m:t>w</m:t>
                  </m:r>
                </m:sub>
              </m:sSub>
              <m:r>
                <m:t>=1536</m:t>
              </m:r>
            </m:oMath>
            <w:r>
              <w:rPr>
                <w:rFonts w:ascii="Microsoft YaHei" w:hAnsi="Microsoft YaHei" w:eastAsia="Microsoft YaHei" w:cs="Microsoft YaHei"/>
                <w:b w:val="0"/>
                <w:i w:val="0"/>
                <w:color w:val="1F2937"/>
                <w:sz w:val="18"/>
              </w:rPr>
              <w:t>，patch 上限 2048）</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组学编码</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通路级 KEGG，168 通路，SNN_Block 两层瓶颈</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划分</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Calibri" w:hAnsi="Calibri" w:eastAsia="Microsoft YaHei" w:cs="Calibri"/>
                <w:b w:val="0"/>
                <w:i w:val="0"/>
                <w:color w:val="3F4C5A"/>
                <w:sz w:val="17"/>
              </w:rPr>
              <w:t>5fold_uni2h</w:t>
            </w:r>
            <w:r>
              <w:rPr>
                <w:rFonts w:ascii="Microsoft YaHei" w:hAnsi="Microsoft YaHei" w:eastAsia="Microsoft YaHei" w:cs="Microsoft YaHei"/>
                <w:b w:val="0"/>
                <w:i w:val="0"/>
                <w:color w:val="1F2937"/>
                <w:sz w:val="18"/>
              </w:rPr>
              <w:t>，训练折拟合时间分箱，</w:t>
            </w:r>
            <w:r>
              <w:rPr>
                <w:rFonts w:ascii="Calibri" w:hAnsi="Calibri" w:eastAsia="Microsoft YaHei" w:cs="Calibri"/>
                <w:b w:val="0"/>
                <w:i w:val="0"/>
                <w:color w:val="3F4C5A"/>
                <w:sz w:val="17"/>
              </w:rPr>
              <w:t>global_qcut</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共享语义坐标</w:t>
            </w:r>
          </w:p>
        </w:tc>
        <w:tc>
          <w:tcPr>
            <w:tcW w:type="dxa" w:w="6860"/>
            <w:tcMar>
              <w:top w:w="80" w:type="dxa"/>
              <w:start w:w="120" w:type="dxa"/>
              <w:bottom w:w="80" w:type="dxa"/>
              <w:end w:w="120" w:type="dxa"/>
            </w:tcMar>
            <w:vAlign w:val="center"/>
          </w:tcPr>
          <w:p>
            <w:pPr>
              <w:spacing w:before="0" w:after="0" w:line="269" w:lineRule="auto"/>
              <w:ind w:firstLine="0"/>
              <w:jc w:val="left"/>
            </w:pPr>
            <m:oMath>
              <m:sSub>
                <m:e>
                  <m:r>
                    <m:t>K</m:t>
                  </m:r>
                </m:e>
                <m:sub>
                  <m:r>
                    <m:t>w</m:t>
                  </m:r>
                </m:sub>
              </m:sSub>
              <m:r>
                <m:t>=</m:t>
              </m:r>
              <m:sSub>
                <m:e>
                  <m:r>
                    <m:t>K</m:t>
                  </m:r>
                </m:e>
                <m:sub>
                  <m:r>
                    <m:t>o</m:t>
                  </m:r>
                </m:sub>
              </m:sSub>
              <m:r>
                <m:t>=8</m:t>
              </m:r>
            </m:oMath>
            <w:r>
              <w:rPr>
                <w:rFonts w:ascii="Microsoft YaHei" w:hAnsi="Microsoft YaHei" w:eastAsia="Microsoft YaHei" w:cs="Microsoft YaHei"/>
                <w:b w:val="0"/>
                <w:i w:val="0"/>
                <w:color w:val="1F2937"/>
                <w:sz w:val="18"/>
              </w:rPr>
              <w:t>，</w:t>
            </w:r>
            <m:oMath>
              <m:sSub>
                <m:e>
                  <m:r>
                    <m:t>τ</m:t>
                  </m:r>
                </m:e>
                <m:sub>
                  <m:r>
                    <m:rPr>
                      <m:sty m:val="p"/>
                    </m:rPr>
                    <m:t>coord</m:t>
                  </m:r>
                </m:sub>
              </m:sSub>
              <m:r>
                <m:t>=0.30</m:t>
              </m:r>
            </m:oMath>
            <w:r>
              <w:rPr>
                <w:rFonts w:ascii="Microsoft YaHei" w:hAnsi="Microsoft YaHei" w:eastAsia="Microsoft YaHei" w:cs="Microsoft YaHei"/>
                <w:b w:val="0"/>
                <w:i w:val="0"/>
                <w:color w:val="1F2937"/>
                <w:sz w:val="18"/>
              </w:rPr>
              <w:t>；输出为患者局部 token 的加权池化</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阶段</w:t>
            </w:r>
          </w:p>
        </w:tc>
        <w:tc>
          <w:tcPr>
            <w:tcW w:type="dxa" w:w="6860"/>
            <w:tcMar>
              <w:top w:w="80" w:type="dxa"/>
              <w:start w:w="120" w:type="dxa"/>
              <w:bottom w:w="80" w:type="dxa"/>
              <w:end w:w="120" w:type="dxa"/>
            </w:tcMar>
            <w:vAlign w:val="center"/>
          </w:tcPr>
          <w:p>
            <w:pPr>
              <w:spacing w:before="0" w:after="0" w:line="269" w:lineRule="auto"/>
              <w:ind w:firstLine="0"/>
              <w:jc w:val="left"/>
            </w:pPr>
            <m:oMath>
              <m:r>
                <m:t>S=4</m:t>
              </m:r>
            </m:oMath>
            <w:r>
              <w:rPr>
                <w:rFonts w:ascii="Microsoft YaHei" w:hAnsi="Microsoft YaHei" w:eastAsia="Microsoft YaHei" w:cs="Microsoft YaHei"/>
                <w:b w:val="0"/>
                <w:i w:val="0"/>
                <w:color w:val="1F2937"/>
                <w:sz w:val="18"/>
              </w:rPr>
              <w:t>，由训练折事件分位数划定</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运输几何</w:t>
            </w:r>
          </w:p>
        </w:tc>
        <w:tc>
          <w:tcPr>
            <w:tcW w:type="dxa" w:w="6860"/>
            <w:tcMar>
              <w:top w:w="80" w:type="dxa"/>
              <w:start w:w="120" w:type="dxa"/>
              <w:bottom w:w="80" w:type="dxa"/>
              <w:end w:w="120" w:type="dxa"/>
            </w:tcMar>
            <w:vAlign w:val="center"/>
          </w:tcPr>
          <w:p>
            <w:pPr>
              <w:spacing w:before="0" w:after="0" w:line="269" w:lineRule="auto"/>
              <w:ind w:firstLine="0"/>
              <w:jc w:val="left"/>
            </w:pPr>
            <m:oMath>
              <m:r>
                <m:t>G=3</m:t>
              </m:r>
            </m:oMath>
            <w:r>
              <w:rPr>
                <w:rFonts w:ascii="Microsoft YaHei" w:hAnsi="Microsoft YaHei" w:eastAsia="Microsoft YaHei" w:cs="Microsoft YaHei"/>
                <w:b w:val="0"/>
                <w:i w:val="0"/>
                <w:color w:val="1F2937"/>
                <w:sz w:val="18"/>
              </w:rPr>
              <w:t>：余弦、欧氏、正点积；三种几何独立保留并分别求解计划</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阶段条件代价</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基础几何代价 + </w:t>
            </w:r>
            <m:oMath>
              <m:r>
                <m:t>0.20</m:t>
              </m:r>
            </m:oMath>
            <w:r>
              <w:rPr>
                <w:rFonts w:ascii="Microsoft YaHei" w:hAnsi="Microsoft YaHei" w:eastAsia="Microsoft YaHei" w:cs="Microsoft YaHei"/>
                <w:b w:val="0"/>
                <w:i w:val="0"/>
                <w:color w:val="1F2937"/>
                <w:sz w:val="18"/>
              </w:rPr>
              <w:t xml:space="preserve"> 归一化预后代价</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证据边际</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evidence gate 产生 </w:t>
            </w:r>
            <m:oMath>
              <m:sSub>
                <m:e>
                  <m:r>
                    <m:t>μ</m:t>
                  </m:r>
                </m:e>
                <m:sub>
                  <m:r>
                    <m:t>s</m:t>
                  </m:r>
                </m:sub>
              </m:sSub>
              <m:r>
                <m:t>,</m:t>
              </m:r>
              <m:sSub>
                <m:e>
                  <m:r>
                    <m:t>ν</m:t>
                  </m:r>
                </m:e>
                <m:sub>
                  <m:r>
                    <m:t>s</m:t>
                  </m:r>
                </m:sub>
              </m:sSub>
            </m:oMath>
            <w:r>
              <w:rPr>
                <w:rFonts w:ascii="Microsoft YaHei" w:hAnsi="Microsoft YaHei" w:eastAsia="Microsoft YaHei" w:cs="Microsoft YaHei"/>
                <w:b w:val="0"/>
                <w:i w:val="0"/>
                <w:color w:val="1F2937"/>
                <w:sz w:val="18"/>
              </w:rPr>
              <w:t>；质量下界 0.05；边际强度 1.0，不与均匀边际混合</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禁用代价项</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证据附加代价 = 0；几何可靠性重加权 = 0</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优化器</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AdamW，</w:t>
            </w:r>
            <m:oMath>
              <m:r>
                <m:rPr>
                  <m:nor/>
                </m:rPr>
                <m:t>lr</m:t>
              </m:r>
              <m:r>
                <m:t>=5×</m:t>
              </m:r>
              <m:sSup>
                <m:e>
                  <m:r>
                    <m:t>10</m:t>
                  </m:r>
                </m:e>
                <m:sup>
                  <m:r>
                    <m:t>−4</m:t>
                  </m:r>
                </m:sup>
              </m:sSup>
            </m:oMath>
            <w:r>
              <w:rPr>
                <w:rFonts w:ascii="Microsoft YaHei" w:hAnsi="Microsoft YaHei" w:eastAsia="Microsoft YaHei" w:cs="Microsoft YaHei"/>
                <w:b w:val="0"/>
                <w:i w:val="0"/>
                <w:color w:val="1F2937"/>
                <w:sz w:val="18"/>
              </w:rPr>
              <w:t>，</w:t>
            </w:r>
            <m:oMath>
              <m:r>
                <m:rPr>
                  <m:nor/>
                </m:rPr>
                <m:t>wd</m:t>
              </m:r>
              <m:r>
                <m:t>=5×</m:t>
              </m:r>
              <m:sSup>
                <m:e>
                  <m:r>
                    <m:t>10</m:t>
                  </m:r>
                </m:e>
                <m:sup>
                  <m:r>
                    <m:t>−4</m:t>
                  </m:r>
                </m:sup>
              </m:sSup>
            </m:oMath>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训练</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50 epoch，batch size 8，事件分层批次</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风险读取</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多几何运输事件 token + 阶段嵌入 + 共享 Transformer + hazard 头 + 事件门</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生存目标</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离散时间 NLL + IPCW 成对排序（作用于同一标量风险）</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IPCW rank</w:t>
            </w:r>
          </w:p>
        </w:tc>
        <w:tc>
          <w:tcPr>
            <w:tcW w:type="dxa" w:w="6860"/>
            <w:tcMar>
              <w:top w:w="80" w:type="dxa"/>
              <w:start w:w="120" w:type="dxa"/>
              <w:bottom w:w="80" w:type="dxa"/>
              <w:end w:w="120" w:type="dxa"/>
            </w:tcMar>
            <w:vAlign w:val="center"/>
          </w:tcPr>
          <w:p>
            <w:pPr>
              <w:spacing w:before="0" w:after="0" w:line="269" w:lineRule="auto"/>
              <w:ind w:firstLine="0"/>
              <w:jc w:val="left"/>
            </w:pPr>
            <m:oMath>
              <m:r>
                <m:t>λ=0.10</m:t>
              </m:r>
            </m:oMath>
            <w:r>
              <w:rPr>
                <w:rFonts w:ascii="Microsoft YaHei" w:hAnsi="Microsoft YaHei" w:eastAsia="Microsoft YaHei" w:cs="Microsoft YaHei"/>
                <w:b w:val="0"/>
                <w:i w:val="0"/>
                <w:color w:val="1F2937"/>
                <w:sz w:val="18"/>
              </w:rPr>
              <w:t>，</w:t>
            </w:r>
            <m:oMath>
              <m:r>
                <m:t>m=0.02</m:t>
              </m:r>
            </m:oMath>
            <w:r>
              <w:rPr>
                <w:rFonts w:ascii="Microsoft YaHei" w:hAnsi="Microsoft YaHei" w:eastAsia="Microsoft YaHei" w:cs="Microsoft YaHei"/>
                <w:b w:val="0"/>
                <w:i w:val="0"/>
                <w:color w:val="1F2937"/>
                <w:sz w:val="18"/>
              </w:rPr>
              <w:t>，</w:t>
            </w:r>
            <m:oMath>
              <m:r>
                <m:t>τ=0.50</m:t>
              </m:r>
            </m:oMath>
            <w:r>
              <w:rPr>
                <w:rFonts w:ascii="Microsoft YaHei" w:hAnsi="Microsoft YaHei" w:eastAsia="Microsoft YaHei" w:cs="Microsoft YaHei"/>
                <w:b w:val="0"/>
                <w:i w:val="0"/>
                <w:color w:val="1F2937"/>
                <w:sz w:val="18"/>
              </w:rPr>
              <w:t>，记忆 = 64</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方向损失</w:t>
            </w:r>
          </w:p>
        </w:tc>
        <w:tc>
          <w:tcPr>
            <w:tcW w:type="dxa" w:w="6860"/>
            <w:tcMar>
              <w:top w:w="80" w:type="dxa"/>
              <w:start w:w="120" w:type="dxa"/>
              <w:bottom w:w="80" w:type="dxa"/>
              <w:end w:w="120" w:type="dxa"/>
            </w:tcMar>
            <w:vAlign w:val="center"/>
          </w:tcPr>
          <w:p>
            <w:pPr>
              <w:spacing w:before="0" w:after="0" w:line="269" w:lineRule="auto"/>
              <w:ind w:firstLine="0"/>
              <w:jc w:val="left"/>
            </w:pPr>
            <m:oMath>
              <m:sSub>
                <m:e>
                  <m:r>
                    <m:t>λ</m:t>
                  </m:r>
                </m:e>
                <m:sub>
                  <m:r>
                    <m:rPr>
                      <m:nor/>
                    </m:rPr>
                    <m:t>dir</m:t>
                  </m:r>
                </m:sub>
              </m:sSub>
              <m:r>
                <m:t>=0.05</m:t>
              </m:r>
            </m:oMath>
            <w:r>
              <w:rPr>
                <w:rFonts w:ascii="Microsoft YaHei" w:hAnsi="Microsoft YaHei" w:eastAsia="Microsoft YaHei" w:cs="Microsoft YaHei"/>
                <w:b w:val="0"/>
                <w:i w:val="0"/>
                <w:color w:val="1F2937"/>
                <w:sz w:val="18"/>
              </w:rPr>
              <w:t>，</w:t>
            </w:r>
            <m:oMath>
              <m:r>
                <m:t>m=0.02</m:t>
              </m:r>
            </m:oMath>
            <w:r>
              <w:rPr>
                <w:rFonts w:ascii="Microsoft YaHei" w:hAnsi="Microsoft YaHei" w:eastAsia="Microsoft YaHei" w:cs="Microsoft YaHei"/>
                <w:b w:val="0"/>
                <w:i w:val="0"/>
                <w:color w:val="1F2937"/>
                <w:sz w:val="18"/>
              </w:rPr>
              <w:t>，</w:t>
            </w:r>
            <m:oMath>
              <m:r>
                <m:t>τ=0.05</m:t>
              </m:r>
            </m:oMath>
            <w:r>
              <w:rPr>
                <w:rFonts w:ascii="Microsoft YaHei" w:hAnsi="Microsoft YaHei" w:eastAsia="Microsoft YaHei" w:cs="Microsoft YaHei"/>
                <w:b w:val="0"/>
                <w:i w:val="0"/>
                <w:color w:val="1F2937"/>
                <w:sz w:val="18"/>
              </w:rPr>
              <w:t>，无 warmup</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MGPTR</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0（类不变式强制）</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自适应权重</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False（类不变式强制）</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剂量损失</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0（类不变式强制）</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计划重配置训练损失</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0（类不变式强制）；Plan TV 仅为评估指标</w:t>
            </w:r>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干预剂量</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训练仅使用低/高风险 </w:t>
            </w:r>
            <m:oMath>
              <m:r>
                <m:t>α=1</m:t>
              </m:r>
            </m:oMath>
            <w:r>
              <w:rPr>
                <w:rFonts w:ascii="Microsoft YaHei" w:hAnsi="Microsoft YaHei" w:eastAsia="Microsoft YaHei" w:cs="Microsoft YaHei"/>
                <w:b w:val="0"/>
                <w:i w:val="0"/>
                <w:color w:val="1F2937"/>
                <w:sz w:val="18"/>
              </w:rPr>
              <w:t xml:space="preserve"> 端点；审计高风险路径为 </w:t>
            </w:r>
            <m:oMath>
              <m:d>
                <m:dPr>
                  <m:begChr m:val="{"/>
                  <m:sepChr m:val=","/>
                  <m:endChr m:val="}"/>
                </m:dPr>
                <m:e>
                  <m:r>
                    <m:t>0</m:t>
                  </m:r>
                </m:e>
                <m:e>
                  <m:r>
                    <m:t>0.25</m:t>
                  </m:r>
                </m:e>
                <m:e>
                  <m:r>
                    <m:t>0.5</m:t>
                  </m:r>
                </m:e>
                <m:e>
                  <m:r>
                    <m:t>0.75</m:t>
                  </m:r>
                </m:e>
                <m:e>
                  <m:r>
                    <m:t>1</m:t>
                  </m:r>
                </m:e>
              </m:d>
            </m:oMath>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Sinkhorn</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训练前 12 epoch：</w:t>
            </w:r>
            <m:oMath>
              <m:r>
                <m:t>ε</m:t>
              </m:r>
            </m:oMath>
            <w:r>
              <w:rPr>
                <w:rFonts w:ascii="Microsoft YaHei" w:hAnsi="Microsoft YaHei" w:eastAsia="Microsoft YaHei" w:cs="Microsoft YaHei"/>
                <w:b w:val="0"/>
                <w:i w:val="0"/>
                <w:color w:val="1F2937"/>
                <w:sz w:val="18"/>
              </w:rPr>
              <w:t xml:space="preserve"> 由 0.10 退火至 0.05；最终评估 0.05；50 轮 log-domain，至多 1000 轮投影，容差 </w:t>
            </w:r>
            <m:oMath>
              <m:sSup>
                <m:e>
                  <m:r>
                    <m:t>10</m:t>
                  </m:r>
                </m:e>
                <m:sup>
                  <m:r>
                    <m:t>−4</m:t>
                  </m:r>
                </m:sup>
              </m:sSup>
            </m:oMath>
          </w:p>
        </w:tc>
      </w:tr>
      <w:tr>
        <w:trPr>
          <w:cantSplit/>
        </w:trPr>
        <w:tc>
          <w:tcPr>
            <w:tcW w:type="dxa" w:w="25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锚点</w:t>
            </w:r>
          </w:p>
        </w:tc>
        <w:tc>
          <w:tcPr>
            <w:tcW w:type="dxa" w:w="686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分阶段、分几何、分风险侧的事实代价批内 IPCW 均值；EMA momentum = 0.90；缺侧时回退事实代价</w:t>
            </w:r>
          </w:p>
        </w:tc>
      </w:tr>
    </w:tbl>
    <w:p>
      <w:pPr>
        <w:spacing w:before="0" w:after="60"/>
      </w:pPr>
    </w:p>
    <w:p>
      <w:pPr>
        <w:pStyle w:val="Heading1"/>
        <w:keepNext/>
        <w:ind w:firstLine="0"/>
      </w:pPr>
      <w:r>
        <w:rPr>
          <w:rFonts w:ascii="Microsoft YaHei" w:hAnsi="Microsoft YaHei" w:eastAsia="Microsoft YaHei" w:cs="Microsoft YaHei"/>
          <w:b/>
          <w:i w:val="0"/>
          <w:color w:val="2E74B5"/>
          <w:sz w:val="32"/>
        </w:rPr>
        <w:t>附录 C  关键公式索引</w:t>
      </w:r>
    </w:p>
    <w:tbl>
      <w:tblPr>
        <w:tblStyle w:val="TableGrid"/>
        <w:tblW w:type="dxa" w:w="9360"/>
        <w:tblLayout w:type="fixed"/>
        <w:tblLook w:firstColumn="1" w:firstRow="1" w:lastColumn="0" w:lastRow="0" w:noHBand="0" w:noVBand="1" w:val="04A0"/>
        <w:tblInd w:w="120" w:type="dxa"/>
        <w:tblBorders>
          <w:top w:val="single" w:sz="5" w:space="0" w:color="D9E1EA"/>
          <w:left w:val="single" w:sz="5" w:space="0" w:color="D9E1EA"/>
          <w:bottom w:val="single" w:sz="5" w:space="0" w:color="D9E1EA"/>
          <w:right w:val="single" w:sz="5" w:space="0" w:color="D9E1EA"/>
          <w:insideH w:val="single" w:sz="5" w:space="0" w:color="D9E1EA"/>
          <w:insideV w:val="single" w:sz="5" w:space="0" w:color="D9E1EA"/>
        </w:tblBorders>
      </w:tblPr>
      <w:tblGrid>
        <w:gridCol w:w="720"/>
        <w:gridCol w:w="6900"/>
        <w:gridCol w:w="1740"/>
      </w:tblGrid>
      <w:tr>
        <w:trPr>
          <w:cantSplit/>
          <w:tblHeader w:val="true"/>
        </w:trPr>
        <w:tc>
          <w:tcPr>
            <w:tcW w:type="dxa" w:w="72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编号</w:t>
            </w:r>
          </w:p>
        </w:tc>
        <w:tc>
          <w:tcPr>
            <w:tcW w:type="dxa" w:w="690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公式</w:t>
            </w:r>
          </w:p>
        </w:tc>
        <w:tc>
          <w:tcPr>
            <w:tcW w:type="dxa" w:w="1740"/>
            <w:tcMar>
              <w:top w:w="80" w:type="dxa"/>
              <w:start w:w="120" w:type="dxa"/>
              <w:bottom w:w="80" w:type="dxa"/>
              <w:end w:w="120" w:type="dxa"/>
            </w:tcMar>
            <w:vAlign w:val="center"/>
            <w:shd w:fill="F4F6F9" w:val="clear"/>
          </w:tcPr>
          <w:p>
            <w:pPr>
              <w:spacing w:before="0" w:after="0" w:line="269" w:lineRule="auto"/>
              <w:ind w:firstLine="0"/>
              <w:jc w:val="center"/>
            </w:pPr>
            <w:r>
              <w:rPr>
                <w:rFonts w:ascii="Microsoft YaHei" w:hAnsi="Microsoft YaHei" w:eastAsia="Microsoft YaHei" w:cs="Microsoft YaHei"/>
                <w:b/>
                <w:i w:val="0"/>
                <w:color w:val="1F2937"/>
                <w:sz w:val="18"/>
              </w:rPr>
              <w:t>出处</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(1)</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共享坐标 </w:t>
            </w:r>
            <m:oMath>
              <m:sSub>
                <m:e>
                  <m:r>
                    <m:t>a</m:t>
                  </m:r>
                </m:e>
                <m:sub>
                  <m:r>
                    <m:t>b,k,n</m:t>
                  </m:r>
                </m:sub>
              </m:sSub>
              <m:r>
                <m:t>=</m:t>
              </m:r>
              <m:sSub>
                <m:e>
                  <m:r>
                    <m:t>softmax</m:t>
                  </m:r>
                </m:e>
                <m:sub>
                  <m:r>
                    <m:t>k</m:t>
                  </m:r>
                </m:sub>
              </m:sSub>
              <m:r>
                <m:t>(⟨</m:t>
              </m:r>
              <m:sSub>
                <m:e>
                  <m:bar>
                    <m:barPr>
                      <m:pos m:val="top"/>
                    </m:barPr>
                    <m:e>
                      <m:r>
                        <m:t>z</m:t>
                      </m:r>
                    </m:e>
                  </m:bar>
                </m:e>
                <m:sub>
                  <m:r>
                    <m:t>b,n</m:t>
                  </m:r>
                </m:sub>
              </m:sSub>
              <m:r>
                <m:t>,</m:t>
              </m:r>
              <m:sSub>
                <m:e>
                  <m:bar>
                    <m:barPr>
                      <m:pos m:val="top"/>
                    </m:barPr>
                    <m:e>
                      <m:r>
                        <m:t>P</m:t>
                      </m:r>
                    </m:e>
                  </m:bar>
                </m:e>
                <m:sub>
                  <m:r>
                    <m:t>k</m:t>
                  </m:r>
                </m:sub>
              </m:sSub>
              <m:r>
                <m:t>⟩/τ)</m:t>
              </m:r>
            </m:oMath>
            <w:r>
              <w:rPr>
                <w:rFonts w:ascii="Microsoft YaHei" w:hAnsi="Microsoft YaHei" w:eastAsia="Microsoft YaHei" w:cs="Microsoft YaHei"/>
                <w:b w:val="0"/>
                <w:i w:val="0"/>
                <w:color w:val="1F2937"/>
                <w:sz w:val="18"/>
              </w:rPr>
              <w:t>，</w:t>
            </w:r>
            <m:oMath>
              <m:sSub>
                <m:e>
                  <m:r>
                    <m:t>s</m:t>
                  </m:r>
                </m:e>
                <m:sub>
                  <m:r>
                    <m:t>b,k</m:t>
                  </m:r>
                </m:sub>
              </m:sSub>
              <m:r>
                <m:t>=</m:t>
              </m:r>
              <m:nary>
                <m:naryPr>
                  <m:chr m:val="∑"/>
                  <m:limLoc m:val="subSup"/>
                  <m:grow m:val="1"/>
                  <m:subHide m:val="off"/>
                  <m:supHide m:val="on"/>
                </m:naryPr>
                <m:sub>
                  <m:r>
                    <m:t>n</m:t>
                  </m:r>
                </m:sub>
                <m:sup/>
                <m:e>
                  <m:f>
                    <m:fPr>
                      <m:type m:val="bar"/>
                    </m:fPr>
                    <m:num>
                      <m:sSub>
                        <m:e>
                          <m:r>
                            <m:t>a</m:t>
                          </m:r>
                        </m:e>
                        <m:sub>
                          <m:r>
                            <m:t>b,k,n</m:t>
                          </m:r>
                        </m:sub>
                      </m:sSub>
                    </m:num>
                    <m:den>
                      <m:nary>
                        <m:naryPr>
                          <m:chr m:val="∑"/>
                          <m:limLoc m:val="subSup"/>
                          <m:grow m:val="1"/>
                          <m:subHide m:val="off"/>
                          <m:supHide m:val="on"/>
                        </m:naryPr>
                        <m:sub>
                          <m:sSup>
                            <m:e>
                              <m:r>
                                <m:t>n</m:t>
                              </m:r>
                            </m:e>
                            <m:sup>
                              <m:r>
                                <m:t>′</m:t>
                              </m:r>
                            </m:sup>
                          </m:sSup>
                        </m:sub>
                        <m:sup/>
                        <m:e>
                          <m:sSub>
                            <m:e>
                              <m:r>
                                <m:t>a</m:t>
                              </m:r>
                            </m:e>
                            <m:sub>
                              <m:r>
                                <m:t>b,k,</m:t>
                              </m:r>
                              <m:sSup>
                                <m:e>
                                  <m:r>
                                    <m:t>n</m:t>
                                  </m:r>
                                </m:e>
                                <m:sup>
                                  <m:r>
                                    <m:t>′</m:t>
                                  </m:r>
                                </m:sup>
                              </m:sSup>
                            </m:sub>
                          </m:sSub>
                        </m:e>
                      </m:nary>
                    </m:den>
                  </m:f>
                </m:e>
              </m:nary>
              <m:sSub>
                <m:e>
                  <m:r>
                    <m:t>z</m:t>
                  </m:r>
                </m:e>
                <m:sub>
                  <m:r>
                    <m:t>b,n</m:t>
                  </m:r>
                </m:sub>
              </m:sSub>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§3.2</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(2)</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独立几何代价 </w:t>
            </w:r>
            <m:oMath>
              <m:sSub>
                <m:e>
                  <m:r>
                    <m:t>C</m:t>
                  </m:r>
                </m:e>
                <m:sub>
                  <m:r>
                    <m:t>b,s,q</m:t>
                  </m:r>
                </m:sub>
              </m:sSub>
              <m:r>
                <m:t>=</m:t>
              </m:r>
              <m:sSub>
                <m:e>
                  <m:limUpp>
                    <m:e>
                      <m:r>
                        <m:t>d</m:t>
                      </m:r>
                    </m:e>
                    <m:lim>
                      <m:r>
                        <m:t>~</m:t>
                      </m:r>
                    </m:lim>
                  </m:limUpp>
                </m:e>
                <m:sub>
                  <m:r>
                    <m:t>q</m:t>
                  </m:r>
                </m:sub>
              </m:sSub>
              <m:r>
                <m:t>+0.20</m:t>
              </m:r>
              <m:sSub>
                <m:e>
                  <m:limUpp>
                    <m:e>
                      <m:r>
                        <m:t>p</m:t>
                      </m:r>
                    </m:e>
                    <m:lim>
                      <m:r>
                        <m:t>~</m:t>
                      </m:r>
                    </m:lim>
                  </m:limUpp>
                </m:e>
                <m:sub>
                  <m:r>
                    <m:t>b,s</m:t>
                  </m:r>
                </m:sub>
              </m:sSub>
            </m:oMath>
            <w:r>
              <w:rPr>
                <w:rFonts w:ascii="Microsoft YaHei" w:hAnsi="Microsoft YaHei" w:eastAsia="Microsoft YaHei" w:cs="Microsoft YaHei"/>
                <w:b w:val="0"/>
                <w:i w:val="0"/>
                <w:color w:val="1F2937"/>
                <w:sz w:val="18"/>
              </w:rPr>
              <w:t>，</w:t>
            </w:r>
            <m:oMath>
              <m:r>
                <m:t>q∈{</m:t>
              </m:r>
              <m:r>
                <m:rPr>
                  <m:sty m:val="p"/>
                </m:rPr>
                <m:t>cos</m:t>
              </m:r>
              <m:r>
                <m:t>,</m:t>
              </m:r>
              <m:r>
                <m:rPr>
                  <m:sty m:val="p"/>
                </m:rPr>
                <m:t>euc</m:t>
              </m:r>
              <m:r>
                <m:t>,</m:t>
              </m:r>
              <m:r>
                <m:rPr>
                  <m:sty m:val="p"/>
                </m:rPr>
                <m:t>pdot</m:t>
              </m:r>
              <m:r>
                <m:t>}</m:t>
              </m:r>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§3.3</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证据边际 </w:t>
            </w:r>
            <m:oMath>
              <m:sSub>
                <m:e>
                  <m:r>
                    <m:t>μ</m:t>
                  </m:r>
                </m:e>
                <m:sub>
                  <m:r>
                    <m:t>b,s,k</m:t>
                  </m:r>
                </m:sub>
              </m:sSub>
              <m:r>
                <m:t>=</m:t>
              </m:r>
              <m:sSub>
                <m:e>
                  <m:bar>
                    <m:barPr>
                      <m:pos m:val="top"/>
                    </m:barPr>
                    <m:e>
                      <m:r>
                        <m:t>μ</m:t>
                      </m:r>
                    </m:e>
                  </m:bar>
                </m:e>
                <m:sub>
                  <m:r>
                    <m:t>b,s,k</m:t>
                  </m:r>
                </m:sub>
              </m:sSub>
              <m:r>
                <m:t>/</m:t>
              </m:r>
              <m:nary>
                <m:naryPr>
                  <m:chr m:val="∑"/>
                  <m:limLoc m:val="subSup"/>
                  <m:grow m:val="1"/>
                  <m:subHide m:val="off"/>
                  <m:supHide m:val="on"/>
                </m:naryPr>
                <m:sub>
                  <m:sSup>
                    <m:e>
                      <m:r>
                        <m:t>k</m:t>
                      </m:r>
                    </m:e>
                    <m:sup>
                      <m:r>
                        <m:t>′</m:t>
                      </m:r>
                    </m:sup>
                  </m:sSup>
                </m:sub>
                <m:sup/>
                <m:e>
                  <m:sSub>
                    <m:e>
                      <m:bar>
                        <m:barPr>
                          <m:pos m:val="top"/>
                        </m:barPr>
                        <m:e>
                          <m:r>
                            <m:t>μ</m:t>
                          </m:r>
                        </m:e>
                      </m:bar>
                    </m:e>
                    <m:sub>
                      <m:r>
                        <m:t>b,s,</m:t>
                      </m:r>
                      <m:sSup>
                        <m:e>
                          <m:r>
                            <m:t>k</m:t>
                          </m:r>
                        </m:e>
                        <m:sup>
                          <m:r>
                            <m:t>′</m:t>
                          </m:r>
                        </m:sup>
                      </m:sSup>
                    </m:sub>
                  </m:sSub>
                </m:e>
              </m:nary>
            </m:oMath>
            <w:r>
              <w:rPr>
                <w:rFonts w:ascii="Microsoft YaHei" w:hAnsi="Microsoft YaHei" w:eastAsia="Microsoft YaHei" w:cs="Microsoft YaHei"/>
                <w:b w:val="0"/>
                <w:i w:val="0"/>
                <w:color w:val="1F2937"/>
                <w:sz w:val="18"/>
              </w:rPr>
              <w:t>，</w:t>
            </w:r>
            <m:oMath>
              <m:r>
                <m:t>ν</m:t>
              </m:r>
            </m:oMath>
            <w:r>
              <w:rPr>
                <w:rFonts w:ascii="Microsoft YaHei" w:hAnsi="Microsoft YaHei" w:eastAsia="Microsoft YaHei" w:cs="Microsoft YaHei"/>
                <w:b w:val="0"/>
                <w:i w:val="0"/>
                <w:color w:val="1F2937"/>
                <w:sz w:val="18"/>
              </w:rPr>
              <w:t xml:space="preserve"> 同理</w:t>
            </w:r>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§3.4</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(4)</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事实 Sinkhorn </w:t>
            </w:r>
            <m:oMath>
              <m:sSubSup>
                <m:e>
                  <m:r>
                    <m:t>Π</m:t>
                  </m:r>
                </m:e>
                <m:sub>
                  <m:r>
                    <m:t>b,s,q</m:t>
                  </m:r>
                </m:sub>
                <m:sup>
                  <m:r>
                    <m:t>0</m:t>
                  </m:r>
                </m:sup>
              </m:sSubSup>
              <m:r>
                <m:t>=</m:t>
              </m:r>
              <m:r>
                <m:rPr>
                  <m:sty m:val="p"/>
                </m:rPr>
                <m:t>\arg</m:t>
              </m:r>
              <m:sSub>
                <m:e>
                  <m:r>
                    <m:t>min</m:t>
                  </m:r>
                </m:e>
                <m:sub>
                  <m:r>
                    <m:t>Π≥0</m:t>
                  </m:r>
                </m:sub>
              </m:sSub>
              <m:r>
                <m:t>⟨Π,</m:t>
              </m:r>
              <m:sSub>
                <m:e>
                  <m:r>
                    <m:t>C</m:t>
                  </m:r>
                </m:e>
                <m:sub>
                  <m:r>
                    <m:t>b,s,q</m:t>
                  </m:r>
                </m:sub>
              </m:sSub>
              <m:r>
                <m:t>⟩+ε</m:t>
              </m:r>
              <m:r>
                <m:rPr>
                  <m:sty m:val="p"/>
                </m:rPr>
                <m:t>KL</m:t>
              </m:r>
              <m:r>
                <m:t>(Π‖</m:t>
              </m:r>
              <m:sSub>
                <m:e>
                  <m:r>
                    <m:t>μ</m:t>
                  </m:r>
                </m:e>
                <m:sub>
                  <m:r>
                    <m:t>b,s</m:t>
                  </m:r>
                </m:sub>
              </m:sSub>
              <m:r>
                <m:t>⊗</m:t>
              </m:r>
              <m:sSub>
                <m:e>
                  <m:r>
                    <m:t>ν</m:t>
                  </m:r>
                </m:e>
                <m:sub>
                  <m:r>
                    <m:t>b,s</m:t>
                  </m:r>
                </m:sub>
              </m:sSub>
              <m:r>
                <m:t>)</m:t>
              </m:r>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§3.4</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(5)</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锚点 IPCW </w:t>
            </w:r>
            <m:oMath>
              <m:sSubSup>
                <m:e>
                  <m:r>
                    <m:t>w</m:t>
                  </m:r>
                </m:e>
                <m:sub>
                  <m:r>
                    <m:t>i,s</m:t>
                  </m:r>
                </m:sub>
                <m:sup>
                  <m:r>
                    <m:t>H</m:t>
                  </m:r>
                </m:sup>
              </m:sSubSup>
              <m:r>
                <m:t>=</m:t>
              </m:r>
              <m:r>
                <m:rPr>
                  <m:sty m:val="b"/>
                </m:rPr>
                <m:t>1</m:t>
              </m:r>
              <m:r>
                <m:t>[i∈</m:t>
              </m:r>
              <m:sSub>
                <m:e>
                  <m:r>
                    <m:rPr>
                      <m:scr m:val="script"/>
                    </m:rPr>
                    <m:t>E</m:t>
                  </m:r>
                </m:e>
                <m:sub>
                  <m:r>
                    <m:t>s</m:t>
                  </m:r>
                </m:sub>
              </m:sSub>
              <m:r>
                <m:t>]/</m:t>
              </m:r>
              <m:limUpp>
                <m:e>
                  <m:r>
                    <m:t>G</m:t>
                  </m:r>
                </m:e>
                <m:lim>
                  <m:r>
                    <m:t>^</m:t>
                  </m:r>
                </m:lim>
              </m:limUpp>
              <m:r>
                <m:t>(</m:t>
              </m:r>
              <m:sSub>
                <m:e>
                  <m:r>
                    <m:t>T</m:t>
                  </m:r>
                </m:e>
                <m:sub>
                  <m:r>
                    <m:t>i</m:t>
                  </m:r>
                </m:sub>
              </m:sSub>
              <m:r>
                <m:t>)</m:t>
              </m:r>
            </m:oMath>
            <w:r>
              <w:rPr>
                <w:rFonts w:ascii="Microsoft YaHei" w:hAnsi="Microsoft YaHei" w:eastAsia="Microsoft YaHei" w:cs="Microsoft YaHei"/>
                <w:b w:val="0"/>
                <w:i w:val="0"/>
                <w:color w:val="1F2937"/>
                <w:sz w:val="18"/>
              </w:rPr>
              <w:t>，</w:t>
            </w:r>
            <m:oMath>
              <m:sSubSup>
                <m:e>
                  <m:r>
                    <m:t>w</m:t>
                  </m:r>
                </m:e>
                <m:sub>
                  <m:r>
                    <m:t>i,s</m:t>
                  </m:r>
                </m:sub>
                <m:sup>
                  <m:r>
                    <m:t>L</m:t>
                  </m:r>
                </m:sup>
              </m:sSubSup>
              <m:r>
                <m:t>=</m:t>
              </m:r>
              <m:r>
                <m:rPr>
                  <m:sty m:val="b"/>
                </m:rPr>
                <m:t>1</m:t>
              </m:r>
              <m:r>
                <m:t>[i∈</m:t>
              </m:r>
              <m:sSub>
                <m:e>
                  <m:r>
                    <m:rPr>
                      <m:scr m:val="script"/>
                    </m:rPr>
                    <m:t>S</m:t>
                  </m:r>
                </m:e>
                <m:sub>
                  <m:r>
                    <m:t>s</m:t>
                  </m:r>
                </m:sub>
              </m:sSub>
              <m:r>
                <m:t>]/</m:t>
              </m:r>
              <m:limUpp>
                <m:e>
                  <m:r>
                    <m:t>G</m:t>
                  </m:r>
                </m:e>
                <m:lim>
                  <m:r>
                    <m:t>^</m:t>
                  </m:r>
                </m:lim>
              </m:limUpp>
              <m:r>
                <m:t>(</m:t>
              </m:r>
              <m:sSub>
                <m:e>
                  <m:r>
                    <m:t>t</m:t>
                  </m:r>
                </m:e>
                <m:sub>
                  <m:r>
                    <m:t>s</m:t>
                  </m:r>
                </m:sub>
              </m:sSub>
              <m:r>
                <m:t>)</m:t>
              </m:r>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§3.5</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(6)</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批内锚点 </w:t>
            </w:r>
            <m:oMath>
              <m:sSubSup>
                <m:e>
                  <m:limUpp>
                    <m:e>
                      <m:r>
                        <m:t>A</m:t>
                      </m:r>
                    </m:e>
                    <m:lim>
                      <m:r>
                        <m:t>~</m:t>
                      </m:r>
                    </m:lim>
                  </m:limUpp>
                </m:e>
                <m:sub>
                  <m:r>
                    <m:t>s,q,t</m:t>
                  </m:r>
                </m:sub>
                <m:sup>
                  <m:f>
                    <m:fPr>
                      <m:type m:val="lin"/>
                    </m:fPr>
                    <m:num>
                      <m:r>
                        <m:t>L</m:t>
                      </m:r>
                    </m:num>
                    <m:den>
                      <m:r>
                        <m:t>H</m:t>
                      </m:r>
                    </m:den>
                  </m:f>
                </m:sup>
              </m:sSubSup>
              <m:r>
                <m:t>=</m:t>
              </m:r>
              <m:nary>
                <m:naryPr>
                  <m:chr m:val="∑"/>
                  <m:limLoc m:val="subSup"/>
                  <m:grow m:val="1"/>
                  <m:subHide m:val="off"/>
                  <m:supHide m:val="on"/>
                </m:naryPr>
                <m:sub>
                  <m:r>
                    <m:t>i∈</m:t>
                  </m:r>
                  <m:sSub>
                    <m:e>
                      <m:r>
                        <m:rPr>
                          <m:scr m:val="script"/>
                        </m:rPr>
                        <m:t>B</m:t>
                      </m:r>
                    </m:e>
                    <m:sub>
                      <m:r>
                        <m:t>t</m:t>
                      </m:r>
                    </m:sub>
                  </m:sSub>
                </m:sub>
                <m:sup/>
                <m:e>
                  <m:sSubSup>
                    <m:e>
                      <m:r>
                        <m:t>w</m:t>
                      </m:r>
                    </m:e>
                    <m:sub>
                      <m:r>
                        <m:t>i,s</m:t>
                      </m:r>
                    </m:sub>
                    <m:sup>
                      <m:f>
                        <m:fPr>
                          <m:type m:val="lin"/>
                        </m:fPr>
                        <m:num>
                          <m:r>
                            <m:t>L</m:t>
                          </m:r>
                        </m:num>
                        <m:den>
                          <m:r>
                            <m:t>H</m:t>
                          </m:r>
                        </m:den>
                      </m:f>
                    </m:sup>
                  </m:sSubSup>
                </m:e>
              </m:nary>
              <m:sSub>
                <m:e>
                  <m:r>
                    <m:t>C</m:t>
                  </m:r>
                </m:e>
                <m:sub>
                  <m:r>
                    <m:t>i,s,q</m:t>
                  </m:r>
                </m:sub>
              </m:sSub>
              <m:r>
                <m:t>/</m:t>
              </m:r>
              <m:nary>
                <m:naryPr>
                  <m:chr m:val="∑"/>
                  <m:limLoc m:val="subSup"/>
                  <m:grow m:val="1"/>
                  <m:subHide m:val="off"/>
                  <m:supHide m:val="on"/>
                </m:naryPr>
                <m:sub>
                  <m:r>
                    <m:t>i∈</m:t>
                  </m:r>
                  <m:sSub>
                    <m:e>
                      <m:r>
                        <m:rPr>
                          <m:scr m:val="script"/>
                        </m:rPr>
                        <m:t>B</m:t>
                      </m:r>
                    </m:e>
                    <m:sub>
                      <m:r>
                        <m:t>t</m:t>
                      </m:r>
                    </m:sub>
                  </m:sSub>
                </m:sub>
                <m:sup/>
                <m:e>
                  <m:sSubSup>
                    <m:e>
                      <m:r>
                        <m:t>w</m:t>
                      </m:r>
                    </m:e>
                    <m:sub>
                      <m:r>
                        <m:t>i,s</m:t>
                      </m:r>
                    </m:sub>
                    <m:sup>
                      <m:f>
                        <m:fPr>
                          <m:type m:val="lin"/>
                        </m:fPr>
                        <m:num>
                          <m:r>
                            <m:t>L</m:t>
                          </m:r>
                        </m:num>
                        <m:den>
                          <m:r>
                            <m:t>H</m:t>
                          </m:r>
                        </m:den>
                      </m:f>
                    </m:sup>
                  </m:sSubSup>
                </m:e>
              </m:nary>
            </m:oMath>
            <w:r>
              <w:rPr>
                <w:rFonts w:ascii="Microsoft YaHei" w:hAnsi="Microsoft YaHei" w:eastAsia="Microsoft YaHei" w:cs="Microsoft YaHei"/>
                <w:b w:val="0"/>
                <w:i w:val="0"/>
                <w:color w:val="1F2937"/>
                <w:sz w:val="18"/>
              </w:rPr>
              <w:t>；</w:t>
            </w:r>
            <m:oMath>
              <m:sSub>
                <m:e>
                  <m:r>
                    <m:t>A</m:t>
                  </m:r>
                </m:e>
                <m:sub>
                  <m:r>
                    <m:t>t</m:t>
                  </m:r>
                </m:sub>
              </m:sSub>
              <m:r>
                <m:t>=0.90</m:t>
              </m:r>
              <m:sSub>
                <m:e>
                  <m:r>
                    <m:t>A</m:t>
                  </m:r>
                </m:e>
                <m:sub>
                  <m:r>
                    <m:t>t−1</m:t>
                  </m:r>
                </m:sub>
              </m:sSub>
              <m:r>
                <m:t>+0.10</m:t>
              </m:r>
              <m:sSub>
                <m:e>
                  <m:limUpp>
                    <m:e>
                      <m:r>
                        <m:t>A</m:t>
                      </m:r>
                    </m:e>
                    <m:lim>
                      <m:r>
                        <m:t>~</m:t>
                      </m:r>
                    </m:lim>
                  </m:limUpp>
                </m:e>
                <m:sub>
                  <m:r>
                    <m:t>t</m:t>
                  </m:r>
                </m:sub>
              </m:sSub>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§3.5</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(7)</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干预代价 </w:t>
            </w:r>
            <m:oMath>
              <m:sSubSup>
                <m:e>
                  <m:r>
                    <m:t>C</m:t>
                  </m:r>
                </m:e>
                <m:sub>
                  <m:r>
                    <m:t>α</m:t>
                  </m:r>
                </m:sub>
                <m:sup>
                  <m:f>
                    <m:fPr>
                      <m:type m:val="lin"/>
                    </m:fPr>
                    <m:num>
                      <m:r>
                        <m:t>L</m:t>
                      </m:r>
                    </m:num>
                    <m:den>
                      <m:r>
                        <m:t>H</m:t>
                      </m:r>
                    </m:den>
                  </m:f>
                </m:sup>
              </m:sSubSup>
              <m:r>
                <m:t>=(1−α)</m:t>
              </m:r>
              <m:sSub>
                <m:e>
                  <m:r>
                    <m:t>C</m:t>
                  </m:r>
                </m:e>
                <m:sub>
                  <m:r>
                    <m:rPr>
                      <m:sty m:val="p"/>
                    </m:rPr>
                    <m:t>fact</m:t>
                  </m:r>
                </m:sub>
              </m:sSub>
              <m:r>
                <m:t>+α</m:t>
              </m:r>
              <m:sSup>
                <m:e>
                  <m:r>
                    <m:t>A</m:t>
                  </m:r>
                </m:e>
                <m:sup>
                  <m:f>
                    <m:fPr>
                      <m:type m:val="lin"/>
                    </m:fPr>
                    <m:num>
                      <m:r>
                        <m:t>L</m:t>
                      </m:r>
                    </m:num>
                    <m:den>
                      <m:r>
                        <m:t>H</m:t>
                      </m:r>
                    </m:den>
                  </m:f>
                </m:sup>
              </m:sSup>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§3.6</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(8)</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重求解 </w:t>
            </w:r>
            <m:oMath>
              <m:sSubSup>
                <m:e>
                  <m:r>
                    <m:t>Π</m:t>
                  </m:r>
                </m:e>
                <m:sub>
                  <m:r>
                    <m:t>α</m:t>
                  </m:r>
                </m:sub>
                <m:sup>
                  <m:f>
                    <m:fPr>
                      <m:type m:val="lin"/>
                    </m:fPr>
                    <m:num>
                      <m:r>
                        <m:t>L</m:t>
                      </m:r>
                    </m:num>
                    <m:den>
                      <m:r>
                        <m:t>H</m:t>
                      </m:r>
                    </m:den>
                  </m:f>
                </m:sup>
              </m:sSubSup>
              <m:r>
                <m:t>=Sinkhorn(</m:t>
              </m:r>
              <m:sSubSup>
                <m:e>
                  <m:r>
                    <m:t>C</m:t>
                  </m:r>
                </m:e>
                <m:sub>
                  <m:r>
                    <m:t>α</m:t>
                  </m:r>
                </m:sub>
                <m:sup>
                  <m:f>
                    <m:fPr>
                      <m:type m:val="lin"/>
                    </m:fPr>
                    <m:num>
                      <m:r>
                        <m:t>L</m:t>
                      </m:r>
                    </m:num>
                    <m:den>
                      <m:r>
                        <m:t>H</m:t>
                      </m:r>
                    </m:den>
                  </m:f>
                </m:sup>
              </m:sSubSup>
              <m:r>
                <m:t>,μ,ν)</m:t>
              </m:r>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§3.6</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(9)</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方向损失 </w:t>
            </w:r>
            <m:oMath>
              <m:sSub>
                <m:e>
                  <m:r>
                    <m:rPr>
                      <m:scr m:val="script"/>
                    </m:rPr>
                    <m:t>L</m:t>
                  </m:r>
                </m:e>
                <m:sub>
                  <m:r>
                    <m:rPr>
                      <m:sty m:val="p"/>
                    </m:rPr>
                    <m:t>dir</m:t>
                  </m:r>
                </m:sub>
              </m:sSub>
              <m:r>
                <m:t>=</m:t>
              </m:r>
              <m:f>
                <m:fPr>
                  <m:type m:val="bar"/>
                </m:fPr>
                <m:num>
                  <m:r>
                    <m:t>1</m:t>
                  </m:r>
                </m:num>
                <m:den>
                  <m:r>
                    <m:t>2</m:t>
                  </m:r>
                </m:den>
              </m:f>
              <m:sSub>
                <m:e>
                  <m:r>
                    <m:rPr>
                      <m:scr m:val="double-struck"/>
                      <m:sty m:val="p"/>
                    </m:rPr>
                    <m:t>E</m:t>
                  </m:r>
                </m:e>
                <m:sub>
                  <m:r>
                    <m:t>b</m:t>
                  </m:r>
                </m:sub>
              </m:sSub>
              <m:r>
                <m:t>[τsoftplus((m−Δ</m:t>
              </m:r>
              <m:sSup>
                <m:e>
                  <m:r>
                    <m:t>r</m:t>
                  </m:r>
                </m:e>
                <m:sup>
                  <m:r>
                    <m:t>H</m:t>
                  </m:r>
                </m:sup>
              </m:sSup>
              <m:r>
                <m:t>)/τ)+τsoftplus((m−Δ</m:t>
              </m:r>
              <m:sSup>
                <m:e>
                  <m:r>
                    <m:t>r</m:t>
                  </m:r>
                </m:e>
                <m:sup>
                  <m:r>
                    <m:t>L</m:t>
                  </m:r>
                </m:sup>
              </m:sSup>
              <m:r>
                <m:t>)/τ)]</m:t>
              </m:r>
            </m:oMath>
            <w:r>
              <w:rPr>
                <w:rFonts w:ascii="Microsoft YaHei" w:hAnsi="Microsoft YaHei" w:eastAsia="Microsoft YaHei" w:cs="Microsoft YaHei"/>
                <w:b w:val="0"/>
                <w:i w:val="0"/>
                <w:color w:val="1F2937"/>
                <w:sz w:val="18"/>
              </w:rPr>
              <w:t>，</w:t>
            </w:r>
            <m:oMath>
              <m:r>
                <m:t>Δ</m:t>
              </m:r>
              <m:sSup>
                <m:e>
                  <m:r>
                    <m:t>r</m:t>
                  </m:r>
                </m:e>
                <m:sup>
                  <m:r>
                    <m:t>H</m:t>
                  </m:r>
                </m:sup>
              </m:sSup>
              <m:r>
                <m:t>=</m:t>
              </m:r>
              <m:sSubSup>
                <m:e>
                  <m:r>
                    <m:t>r</m:t>
                  </m:r>
                </m:e>
                <m:sub>
                  <m:r>
                    <m:t>1</m:t>
                  </m:r>
                </m:sub>
                <m:sup>
                  <m:r>
                    <m:t>H</m:t>
                  </m:r>
                </m:sup>
              </m:sSubSup>
              <m:r>
                <m:t>−</m:t>
              </m:r>
              <m:sSup>
                <m:e>
                  <m:r>
                    <m:t>r</m:t>
                  </m:r>
                </m:e>
                <m:sup>
                  <m:r>
                    <m:t>0</m:t>
                  </m:r>
                </m:sup>
              </m:sSup>
            </m:oMath>
            <w:r>
              <w:rPr>
                <w:rFonts w:ascii="Microsoft YaHei" w:hAnsi="Microsoft YaHei" w:eastAsia="Microsoft YaHei" w:cs="Microsoft YaHei"/>
                <w:b w:val="0"/>
                <w:i w:val="0"/>
                <w:color w:val="1F2937"/>
                <w:sz w:val="18"/>
              </w:rPr>
              <w:t>，</w:t>
            </w:r>
            <m:oMath>
              <m:r>
                <m:t>Δ</m:t>
              </m:r>
              <m:sSup>
                <m:e>
                  <m:r>
                    <m:t>r</m:t>
                  </m:r>
                </m:e>
                <m:sup>
                  <m:r>
                    <m:t>L</m:t>
                  </m:r>
                </m:sup>
              </m:sSup>
              <m:r>
                <m:t>=</m:t>
              </m:r>
              <m:sSup>
                <m:e>
                  <m:r>
                    <m:t>r</m:t>
                  </m:r>
                </m:e>
                <m:sup>
                  <m:r>
                    <m:t>0</m:t>
                  </m:r>
                </m:sup>
              </m:sSup>
              <m:r>
                <m:t>−</m:t>
              </m:r>
              <m:sSubSup>
                <m:e>
                  <m:r>
                    <m:t>r</m:t>
                  </m:r>
                </m:e>
                <m:sub>
                  <m:r>
                    <m:t>1</m:t>
                  </m:r>
                </m:sub>
                <m:sup>
                  <m:r>
                    <m:t>L</m:t>
                  </m:r>
                </m:sup>
              </m:sSubSup>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§3.6</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(10)</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风险读取 </w:t>
            </w:r>
            <m:oMath>
              <m:r>
                <m:t>z=Enc(</m:t>
              </m:r>
              <m:sSub>
                <m:e>
                  <m:r>
                    <m:t>F</m:t>
                  </m:r>
                </m:e>
                <m:sub>
                  <m:r>
                    <m:rPr>
                      <m:sty m:val="p"/>
                    </m:rPr>
                    <m:t>event</m:t>
                  </m:r>
                </m:sub>
              </m:sSub>
              <m:r>
                <m:t>(</m:t>
              </m:r>
              <m:sSup>
                <m:e>
                  <m:r>
                    <m:t>S</m:t>
                  </m:r>
                </m:e>
                <m:sup>
                  <m:r>
                    <m:t>w</m:t>
                  </m:r>
                </m:sup>
              </m:sSup>
              <m:r>
                <m:t>,</m:t>
              </m:r>
              <m:sSup>
                <m:e>
                  <m:r>
                    <m:t>S</m:t>
                  </m:r>
                </m:e>
                <m:sup>
                  <m:r>
                    <m:t>o</m:t>
                  </m:r>
                </m:sup>
              </m:sSup>
              <m:r>
                <m:t>,Π)+e)</m:t>
              </m:r>
            </m:oMath>
            <w:r>
              <w:rPr>
                <w:rFonts w:ascii="Microsoft YaHei" w:hAnsi="Microsoft YaHei" w:eastAsia="Microsoft YaHei" w:cs="Microsoft YaHei"/>
                <w:b w:val="0"/>
                <w:i w:val="0"/>
                <w:color w:val="1F2937"/>
                <w:sz w:val="18"/>
              </w:rPr>
              <w:t>，</w:t>
            </w:r>
            <m:oMath>
              <m:sSub>
                <m:e>
                  <m:r>
                    <m:t>logit</m:t>
                  </m:r>
                </m:e>
                <m:sub>
                  <m:r>
                    <m:t>b,c</m:t>
                  </m:r>
                </m:sub>
              </m:sSub>
              <m:r>
                <m:t>=</m:t>
              </m:r>
              <m:nary>
                <m:naryPr>
                  <m:chr m:val="∑"/>
                  <m:limLoc m:val="subSup"/>
                  <m:grow m:val="1"/>
                  <m:subHide m:val="off"/>
                  <m:supHide m:val="on"/>
                </m:naryPr>
                <m:sub>
                  <m:r>
                    <m:t>s</m:t>
                  </m:r>
                </m:sub>
                <m:sup/>
                <m:e>
                  <m:sSub>
                    <m:e>
                      <m:r>
                        <m:t>a</m:t>
                      </m:r>
                    </m:e>
                    <m:sub>
                      <m:r>
                        <m:t>b,s</m:t>
                      </m:r>
                    </m:sub>
                  </m:sSub>
                </m:e>
              </m:nary>
              <m:sSub>
                <m:e>
                  <m:r>
                    <m:t>ℓ</m:t>
                  </m:r>
                </m:e>
                <m:sub>
                  <m:r>
                    <m:t>b,s,c</m:t>
                  </m:r>
                </m:sub>
              </m:sSub>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§3.7</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(11)</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总目标 </w:t>
            </w:r>
            <m:oMath>
              <m:r>
                <m:rPr>
                  <m:scr m:val="script"/>
                </m:rPr>
                <m:t>L</m:t>
              </m:r>
              <m:r>
                <m:t>=</m:t>
              </m:r>
              <m:sSub>
                <m:e>
                  <m:r>
                    <m:rPr>
                      <m:scr m:val="script"/>
                    </m:rPr>
                    <m:t>L</m:t>
                  </m:r>
                </m:e>
                <m:sub>
                  <m:r>
                    <m:rPr>
                      <m:sty m:val="p"/>
                    </m:rPr>
                    <m:t>NLL</m:t>
                  </m:r>
                </m:sub>
              </m:sSub>
              <m:r>
                <m:t>+0.10</m:t>
              </m:r>
              <m:sSubSup>
                <m:e>
                  <m:r>
                    <m:rPr>
                      <m:scr m:val="script"/>
                    </m:rPr>
                    <m:t>L</m:t>
                  </m:r>
                </m:e>
                <m:sub>
                  <m:r>
                    <m:rPr>
                      <m:sty m:val="p"/>
                    </m:rPr>
                    <m:t>rank</m:t>
                  </m:r>
                </m:sub>
                <m:sup>
                  <m:r>
                    <m:rPr>
                      <m:sty m:val="p"/>
                    </m:rPr>
                    <m:t>IPCW</m:t>
                  </m:r>
                </m:sup>
              </m:sSubSup>
              <m:r>
                <m:t>+0.05</m:t>
              </m:r>
              <m:sSub>
                <m:e>
                  <m:r>
                    <m:rPr>
                      <m:scr m:val="script"/>
                    </m:rPr>
                    <m:t>L</m:t>
                  </m:r>
                </m:e>
                <m:sub>
                  <m:r>
                    <m:rPr>
                      <m:sty m:val="p"/>
                    </m:rPr>
                    <m:t>dir</m:t>
                  </m:r>
                </m:sub>
              </m:sSub>
            </m:oMath>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§3.8</w:t>
            </w:r>
          </w:p>
        </w:tc>
      </w:tr>
      <w:tr>
        <w:trPr>
          <w:cantSplit/>
        </w:trPr>
        <w:tc>
          <w:tcPr>
            <w:tcW w:type="dxa" w:w="72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(12)</w:t>
            </w:r>
          </w:p>
        </w:tc>
        <w:tc>
          <w:tcPr>
            <w:tcW w:type="dxa" w:w="690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 xml:space="preserve">类不变式 </w:t>
            </w:r>
            <m:oMath>
              <m:sSub>
                <m:e>
                  <m:r>
                    <m:t>λ</m:t>
                  </m:r>
                </m:e>
                <m:sub>
                  <m:r>
                    <m:rPr>
                      <m:sty m:val="p"/>
                    </m:rPr>
                    <m:t>dose</m:t>
                  </m:r>
                </m:sub>
              </m:sSub>
              <m:r>
                <m:t>=</m:t>
              </m:r>
              <m:sSub>
                <m:e>
                  <m:r>
                    <m:t>λ</m:t>
                  </m:r>
                </m:e>
                <m:sub>
                  <m:r>
                    <m:rPr>
                      <m:sty m:val="p"/>
                    </m:rPr>
                    <m:t>reconfig</m:t>
                  </m:r>
                </m:sub>
              </m:sSub>
              <m:r>
                <m:t>=</m:t>
              </m:r>
              <m:sSub>
                <m:e>
                  <m:r>
                    <m:t>λ</m:t>
                  </m:r>
                </m:e>
                <m:sub>
                  <m:r>
                    <m:rPr>
                      <m:sty m:val="p"/>
                    </m:rPr>
                    <m:t>MGPTR</m:t>
                  </m:r>
                </m:sub>
              </m:sSub>
              <m:r>
                <m:t>=</m:t>
              </m:r>
              <m:sSub>
                <m:e>
                  <m:r>
                    <m:t>λ</m:t>
                  </m:r>
                </m:e>
                <m:sub>
                  <m:r>
                    <m:rPr>
                      <m:sty m:val="p"/>
                    </m:rPr>
                    <m:t>ETAR</m:t>
                  </m:r>
                </m:sub>
              </m:sSub>
              <m:r>
                <m:t>=</m:t>
              </m:r>
              <m:sSub>
                <m:e>
                  <m:r>
                    <m:t>λ</m:t>
                  </m:r>
                </m:e>
                <m:sub>
                  <m:r>
                    <m:rPr>
                      <m:sty m:val="p"/>
                    </m:rPr>
                    <m:t>listwise</m:t>
                  </m:r>
                </m:sub>
              </m:sSub>
              <m:r>
                <m:t>=0</m:t>
              </m:r>
            </m:oMath>
            <w:r>
              <w:rPr>
                <w:rFonts w:ascii="Microsoft YaHei" w:hAnsi="Microsoft YaHei" w:eastAsia="Microsoft YaHei" w:cs="Microsoft YaHei"/>
                <w:b w:val="0"/>
                <w:i w:val="0"/>
                <w:color w:val="1F2937"/>
                <w:sz w:val="18"/>
              </w:rPr>
              <w:t>，自适应权重关闭</w:t>
            </w:r>
          </w:p>
        </w:tc>
        <w:tc>
          <w:tcPr>
            <w:tcW w:type="dxa" w:w="1740"/>
            <w:tcMar>
              <w:top w:w="80" w:type="dxa"/>
              <w:start w:w="120" w:type="dxa"/>
              <w:bottom w:w="80" w:type="dxa"/>
              <w:end w:w="120" w:type="dxa"/>
            </w:tcMar>
            <w:vAlign w:val="center"/>
          </w:tcPr>
          <w:p>
            <w:pPr>
              <w:spacing w:before="0" w:after="0" w:line="269" w:lineRule="auto"/>
              <w:ind w:firstLine="0"/>
              <w:jc w:val="left"/>
            </w:pPr>
            <w:r>
              <w:rPr>
                <w:rFonts w:ascii="Microsoft YaHei" w:hAnsi="Microsoft YaHei" w:eastAsia="Microsoft YaHei" w:cs="Microsoft YaHei"/>
                <w:b w:val="0"/>
                <w:i w:val="0"/>
                <w:color w:val="1F2937"/>
                <w:sz w:val="18"/>
              </w:rPr>
              <w:t>§3.8</w:t>
            </w:r>
          </w:p>
        </w:tc>
      </w:tr>
    </w:tbl>
    <w:p>
      <w:pPr>
        <w:spacing w:before="0" w:after="60"/>
      </w:pPr>
    </w:p>
    <w:p>
      <w:pPr>
        <w:pStyle w:val="Caption"/>
        <w:spacing w:before="0" w:after="160"/>
        <w:ind w:firstLine="0"/>
        <w:jc w:val="center"/>
      </w:pPr>
      <w:r>
        <w:rPr>
          <w:rFonts w:ascii="Microsoft YaHei" w:hAnsi="Microsoft YaHei" w:eastAsia="Microsoft YaHei" w:cs="Microsoft YaHei"/>
          <w:b w:val="0"/>
          <w:i/>
          <w:color w:val="46515E"/>
          <w:sz w:val="18"/>
        </w:rPr>
        <w:t>文档版本：v4.1（2026-08-18 在 §3.5 与 §3.8 增补 IPCW 阶数区分提示；唯一稿，在 v4 图文整合、机制核对与证据门同步的基础上修订）。证据台账：paper_drafts/DCT/DCT_主张与证据台账.md。</w:t>
      </w:r>
      <w:r>
        <w:rPr>
          <w:rFonts w:ascii="Calibri" w:hAnsi="Calibri" w:eastAsia="Microsoft YaHei" w:cs="Calibri"/>
          <w:b w:val="0"/>
          <w:i w:val="0"/>
          <w:color w:val="3F4C5A"/>
          <w:sz w:val="17"/>
        </w:rPr>
      </w:r>
      <w:r>
        <w:rPr>
          <w:rFonts w:ascii="Microsoft YaHei" w:hAnsi="Microsoft YaHei" w:eastAsia="Microsoft YaHei" w:cs="Microsoft YaHei"/>
          <w:b w:val="0"/>
          <w:i/>
          <w:color w:val="46515E"/>
          <w:sz w:val="18"/>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right"/>
    </w:pPr>
    <w:r>
      <w:rPr>
        <w:rFonts w:ascii="Microsoft YaHei" w:hAnsi="Microsoft YaHei" w:eastAsia="Microsoft YaHei" w:cs="Microsoft YaHei"/>
        <w:color w:val="6B7280"/>
        <w:sz w:val="16"/>
      </w:rPr>
      <w:t xml:space="preserve">DCT · 工作主稿  |  第 </w:t>
    </w:r>
    <w:r>
      <w:rPr>
        <w:rFonts w:ascii="Microsoft YaHei" w:hAnsi="Microsoft YaHei" w:eastAsia="Microsoft YaHei" w:cs="Microsoft YaHei"/>
        <w:color w:val="6B7280"/>
        <w:sz w:val="17"/>
      </w:rPr>
      <w:fldChar w:fldCharType="begin"/>
      <w:instrText xml:space="preserve">PAGE</w:instrText>
      <w:fldChar w:fldCharType="separate"/>
      <w:t>1</w:t>
      <w:fldChar w:fldCharType="end"/>
    </w:r>
    <w:r>
      <w:rPr>
        <w:rFonts w:ascii="Microsoft YaHei" w:hAnsi="Microsoft YaHei" w:eastAsia="Microsoft YaHei" w:cs="Microsoft YaHei"/>
        <w:color w:val="6B728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left"/>
    </w:pPr>
    <w:r>
      <w:rPr>
        <w:rFonts w:ascii="Microsoft YaHei" w:hAnsi="Microsoft YaHei" w:eastAsia="Microsoft YaHei" w:cs="Microsoft YaHei"/>
        <w:color w:val="6B7280"/>
        <w:sz w:val="16"/>
      </w:rPr>
      <w:t>DCT | Distributional Counterfactual Transport · 草稿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ind w:firstLine="446"/>
      <w:jc w:val="both"/>
    </w:pPr>
    <w:rPr>
      <w:rFonts w:ascii="Microsoft YaHei" w:hAnsi="Microsoft YaHei" w:eastAsia="Microsoft YaHei" w:cs="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ind w:firstLine="0"/>
      <w:jc w:val="left"/>
      <w:outlineLvl w:val="0"/>
    </w:pPr>
    <w:rPr>
      <w:rFonts w:asciiTheme="majorHAnsi" w:eastAsiaTheme="majorEastAsia" w:hAnsiTheme="majorHAnsi" w:cstheme="majorBidi" w:ascii="Microsoft YaHei" w:hAnsi="Microsoft YaHei" w:eastAsia="Microsoft YaHei" w:cs="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jc w:val="left"/>
      <w:outlineLvl w:val="1"/>
    </w:pPr>
    <w:rPr>
      <w:rFonts w:asciiTheme="majorHAnsi" w:eastAsiaTheme="majorEastAsia" w:hAnsiTheme="majorHAnsi" w:cstheme="majorBidi" w:ascii="Microsoft YaHei" w:hAnsi="Microsoft YaHei" w:eastAsia="Microsoft YaHei" w:cs="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ascii="Microsoft YaHei" w:hAnsi="Microsoft YaHei" w:eastAsia="Microsoft YaHei" w:cs="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before="0" w:after="160"/>
      <w:jc w:val="center"/>
    </w:pPr>
    <w:rPr>
      <w:rFonts w:ascii="Microsoft YaHei" w:hAnsi="Microsoft YaHei" w:eastAsia="Microsoft YaHei" w:cs="Microsoft YaHei"/>
      <w:b w:val="0"/>
      <w:bCs/>
      <w:color w:val="4651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before="360" w:after="160" w:line="276" w:lineRule="auto"/>
      <w:jc w:val="center"/>
    </w:pPr>
    <w:rPr>
      <w:rFonts w:ascii="Microsoft YaHei" w:hAnsi="Microsoft YaHei" w:eastAsia="Microsoft YaHei" w:cs="Microsoft YaHei"/>
      <w:b/>
      <w:color w:val="0B2545"/>
      <w:sz w:val="40"/>
    </w:rPr>
  </w:style>
  <w:style w:type="paragraph" w:customStyle="1" w:styleId="AuthorLine">
    <w:name w:val="Author Line"/>
    <w:pPr>
      <w:spacing w:before="0" w:after="280"/>
      <w:jc w:val="center"/>
    </w:pPr>
    <w:rPr>
      <w:rFonts w:ascii="Microsoft YaHei" w:hAnsi="Microsoft YaHei" w:eastAsia="Microsoft YaHei" w:cs="Microsoft YaHei"/>
      <w:b w:val="0"/>
      <w:color w:val="374151"/>
      <w:sz w:val="22"/>
    </w:rPr>
  </w:style>
  <w:style w:type="paragraph" w:customStyle="1" w:styleId="AbstractLabel">
    <w:name w:val="Abstract Label"/>
    <w:pPr>
      <w:spacing w:before="240" w:after="100"/>
      <w:ind w:firstLine="0"/>
    </w:pPr>
    <w:rPr>
      <w:rFonts w:ascii="Microsoft YaHei" w:hAnsi="Microsoft YaHei" w:eastAsia="Microsoft YaHei" w:cs="Microsoft YaHei"/>
      <w:b/>
      <w:color w:val="0B2545"/>
      <w:sz w:val="24"/>
    </w:rPr>
  </w:style>
  <w:style w:type="paragraph" w:customStyle="1" w:styleId="Formula">
    <w:name w:val="Formula"/>
    <w:pPr>
      <w:spacing w:before="60" w:after="80" w:line="264" w:lineRule="auto"/>
      <w:ind w:firstLine="0"/>
      <w:jc w:val="center"/>
    </w:pPr>
    <w:rPr>
      <w:rFonts w:ascii="Cambria Math" w:hAnsi="Cambria Math" w:eastAsia="Microsoft YaHei" w:cs="Cambria Math"/>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唯一初稿</dc:title>
  <dc:subject>Distributional Counterfactual Transport manuscript</dc:subject>
  <dc:creator>DCT manuscript</dc:creator>
  <cp:keywords/>
  <dc:description>Working manuscript with evidence-gated result placeholders</dc:description>
  <cp:lastModifiedBy/>
  <cp:revision>1</cp:revision>
  <dcterms:created xsi:type="dcterms:W3CDTF">2013-12-23T23:15:00Z</dcterms:created>
  <dcterms:modified xsi:type="dcterms:W3CDTF">2013-12-23T23:15:00Z</dcterms:modified>
  <cp:category/>
</cp:coreProperties>
</file>