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/>
          <w:b/>
        </w:rPr>
        <w:t>DCT v3.13 OT and UNI2-h Literature Reference</w:t>
      </w:r>
    </w:p>
    <w:p>
      <w:pPr>
        <w:jc w:val="center"/>
      </w:pPr>
      <w:r>
        <w:rPr>
          <w:b/>
          <w:color w:val="D7191C"/>
        </w:rPr>
        <w:t>Best</w:t>
      </w:r>
      <w:r>
        <w:t xml:space="preserve">     </w:t>
      </w:r>
      <w:r>
        <w:rPr>
          <w:u w:val="single"/>
        </w:rPr>
        <w:t>Second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134"/>
        <w:gridCol w:w="1236"/>
        <w:gridCol w:w="1236"/>
        <w:gridCol w:w="1236"/>
        <w:gridCol w:w="1236"/>
        <w:gridCol w:w="1236"/>
        <w:gridCol w:w="1236"/>
        <w:gridCol w:w="1236"/>
        <w:gridCol w:w="1236"/>
        <w:gridCol w:w="1236"/>
        <w:gridCol w:w="1236"/>
      </w:tblGrid>
      <w:tr>
        <w:trPr>
          <w:cantSplit/>
          <w:tblHeader/>
        </w:trPr>
        <w:tc>
          <w:tcPr>
            <w:tcW w:type="dxa" w:w="1984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111111"/>
                <w:sz w:val="18"/>
                <w:u w:val="none"/>
              </w:rPr>
              <w:t>Model</w:t>
            </w:r>
          </w:p>
        </w:tc>
        <w:tc>
          <w:tcPr>
            <w:tcW w:type="dxa" w:w="1134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111111"/>
                <w:sz w:val="18"/>
                <w:u w:val="none"/>
              </w:rPr>
              <w:t>Input / FM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111111"/>
                <w:sz w:val="18"/>
                <w:u w:val="none"/>
              </w:rPr>
              <w:t>BRCA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111111"/>
                <w:sz w:val="18"/>
                <w:u w:val="none"/>
              </w:rPr>
              <w:t>COADREAD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111111"/>
                <w:sz w:val="18"/>
                <w:u w:val="none"/>
              </w:rPr>
              <w:t>KIRC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111111"/>
                <w:sz w:val="18"/>
                <w:u w:val="none"/>
              </w:rPr>
              <w:t>UCEC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111111"/>
                <w:sz w:val="18"/>
                <w:u w:val="none"/>
              </w:rPr>
              <w:t>LUAD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111111"/>
                <w:sz w:val="18"/>
                <w:u w:val="none"/>
              </w:rPr>
              <w:t>LUSC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111111"/>
                <w:sz w:val="18"/>
                <w:u w:val="none"/>
              </w:rPr>
              <w:t>HNSC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111111"/>
                <w:sz w:val="18"/>
                <w:u w:val="none"/>
              </w:rPr>
              <w:t>SKCM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111111"/>
                <w:sz w:val="18"/>
                <w:u w:val="none"/>
              </w:rPr>
              <w:t>BLCA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111111"/>
                <w:sz w:val="18"/>
                <w:u w:val="none"/>
              </w:rPr>
              <w:t>STAD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MOTCat [TTA]</w:t>
            </w:r>
          </w:p>
        </w:tc>
        <w:tc>
          <w:tcPr>
            <w:tcW w:type="dxa" w:w="1134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g.+h./U1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0.7170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0.7080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0.6310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0.5760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TTA</w:t>
            </w:r>
          </w:p>
        </w:tc>
        <w:tc>
          <w:tcPr>
            <w:tcW w:type="dxa" w:w="1134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g.+h./U1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single"/>
              </w:rPr>
              <w:t>0.7260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single"/>
              </w:rPr>
              <w:t>0.7780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single"/>
              </w:rPr>
              <w:t>0.6620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single"/>
              </w:rPr>
              <w:t>0.6130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OTSurv</w:t>
            </w:r>
          </w:p>
        </w:tc>
        <w:tc>
          <w:tcPr>
            <w:tcW w:type="dxa" w:w="1134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h./U1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0.6210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0.7500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single"/>
              </w:rPr>
              <w:t>0.6380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0.6370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0.5650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ABMIL</w:t>
            </w:r>
          </w:p>
        </w:tc>
        <w:tc>
          <w:tcPr>
            <w:tcW w:type="dxa" w:w="1134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h./U2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0.6648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0.6725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0.7098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0.6201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0.5708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0.6438</w:t>
            </w:r>
          </w:p>
        </w:tc>
        <w:tc>
          <w:tcPr>
            <w:tcW w:type="dxa" w:w="1236"/>
            <w:vAlign w:val="center"/>
            <w:tcBorders>
              <w:top w:val="single" w:sz="5" w:color="111111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TransMIL</w:t>
            </w:r>
          </w:p>
        </w:tc>
        <w:tc>
          <w:tcPr>
            <w:tcW w:type="dxa" w:w="1134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h./U2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0.6802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0.6651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0.7471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0.6315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0.5786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0.6173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ILRA</w:t>
            </w:r>
          </w:p>
        </w:tc>
        <w:tc>
          <w:tcPr>
            <w:tcW w:type="dxa" w:w="1134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h./U2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0.6645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0.6147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0.7442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0.5262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0.5586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0.6608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R2T-MIL</w:t>
            </w:r>
          </w:p>
        </w:tc>
        <w:tc>
          <w:tcPr>
            <w:tcW w:type="dxa" w:w="1134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h./U2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0.6619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0.6843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0.7253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0.6169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0.5376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0.6014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Patch-GCN</w:t>
            </w:r>
          </w:p>
        </w:tc>
        <w:tc>
          <w:tcPr>
            <w:tcW w:type="dxa" w:w="1134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h./U2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0.7017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0.6675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0.7369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0.6019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0.5770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0.6164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STEPH</w:t>
            </w:r>
          </w:p>
        </w:tc>
        <w:tc>
          <w:tcPr>
            <w:tcW w:type="dxa" w:w="1134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h./U2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D7191C"/>
                <w:sz w:val="18"/>
                <w:u w:val="none"/>
              </w:rPr>
              <w:t>0.7408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single"/>
              </w:rPr>
              <w:t>0.7069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single"/>
              </w:rPr>
              <w:t>0.7830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single"/>
              </w:rPr>
              <w:t>0.6569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single"/>
              </w:rPr>
              <w:t>0.5948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0.6413</w:t>
            </w:r>
          </w:p>
        </w:tc>
        <w:tc>
          <w:tcPr>
            <w:tcW w:type="dxa" w:w="1236"/>
            <w:vAlign w:val="center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</w:tcPr>
          <w:p>
            <w:pPr>
              <w:keepNext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 w:val="0"/>
                <w:color w:val="111111"/>
                <w:sz w:val="18"/>
                <w:u w:val="none"/>
              </w:rPr>
              <w:t>NR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  <w:shd w:fill="FFF7CF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111111"/>
                <w:sz w:val="18"/>
                <w:u w:val="none"/>
              </w:rPr>
              <w:t>DCT v3.13</w:t>
            </w:r>
          </w:p>
        </w:tc>
        <w:tc>
          <w:tcPr>
            <w:tcW w:type="dxa" w:w="1134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  <w:shd w:fill="FFF7CF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111111"/>
                <w:sz w:val="18"/>
                <w:u w:val="none"/>
              </w:rPr>
              <w:t>g.+h./U2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  <w:shd w:fill="FFF7CF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111111"/>
                <w:sz w:val="18"/>
                <w:u w:val="none"/>
              </w:rPr>
              <w:t>0.6787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  <w:shd w:fill="FFF7CF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D7191C"/>
                <w:sz w:val="18"/>
                <w:u w:val="none"/>
              </w:rPr>
              <w:t>0.7364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  <w:shd w:fill="FFF7CF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D7191C"/>
                <w:sz w:val="18"/>
                <w:u w:val="none"/>
              </w:rPr>
              <w:t>0.8224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  <w:shd w:fill="FFF7CF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D7191C"/>
                <w:sz w:val="18"/>
                <w:u w:val="none"/>
              </w:rPr>
              <w:t>0.7928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  <w:shd w:fill="FFF7CF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D7191C"/>
                <w:sz w:val="18"/>
                <w:u w:val="none"/>
              </w:rPr>
              <w:t>0.6858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  <w:shd w:fill="FFF7CF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111111"/>
                <w:sz w:val="18"/>
                <w:u w:val="none"/>
              </w:rPr>
              <w:t>0.6300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  <w:shd w:fill="FFF7CF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D7191C"/>
                <w:sz w:val="18"/>
                <w:u w:val="none"/>
              </w:rPr>
              <w:t>0.6582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  <w:shd w:fill="FFF7CF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D7191C"/>
                <w:sz w:val="18"/>
                <w:u w:val="none"/>
              </w:rPr>
              <w:t>0.6654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  <w:shd w:fill="FFF7CF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D7191C"/>
                <w:sz w:val="18"/>
                <w:u w:val="none"/>
              </w:rPr>
              <w:t>0.7238</w:t>
            </w:r>
          </w:p>
        </w:tc>
        <w:tc>
          <w:tcPr>
            <w:tcW w:type="dxa" w:w="1236"/>
            <w:vAlign w:val="center"/>
            <w:tcBorders>
              <w:top w:val="single" w:sz="10" w:color="111111"/>
              <w:bottom w:val="single" w:sz="10" w:color="111111"/>
              <w:left w:val="nil"/>
              <w:right w:val="nil"/>
              <w:insideH w:val="nil"/>
              <w:insideV w:val="nil"/>
            </w:tcBorders>
            <w:tcMar>
              <w:top w:w="45" w:type="dxa"/>
              <w:bottom w:w="45" w:type="dxa"/>
              <w:left w:w="45" w:type="dxa"/>
              <w:right w:w="45" w:type="dxa"/>
            </w:tcMar>
            <w:shd w:fill="FFF7CF"/>
          </w:tcPr>
          <w:p>
            <w:pPr>
              <w:keepNext w:val="0"/>
              <w:spacing w:before="40" w:after="40" w:line="240" w:lineRule="auto"/>
              <w:jc w:val="center"/>
            </w:pPr>
            <w:r>
              <w:rPr>
                <w:rFonts w:ascii="Times New Roman" w:hAnsi="Times New Roman"/>
                <w:b/>
                <w:color w:val="D7191C"/>
                <w:sz w:val="18"/>
                <w:u w:val="none"/>
              </w:rPr>
              <w:t>0.6361</w:t>
            </w:r>
          </w:p>
        </w:tc>
      </w:tr>
    </w:tbl>
    <w:p>
      <w:pPr>
        <w:spacing w:after="60"/>
      </w:pPr>
      <w:r>
        <w:rPr>
          <w:sz w:val="17"/>
        </w:rPr>
        <w:t>DSS report values only. Inputs, patient splits and checkpoint selection differ; this is not a matched benchmark.</w:t>
      </w:r>
    </w:p>
    <w:p>
      <w:pPr>
        <w:spacing w:after="60"/>
      </w:pPr>
      <w:r>
        <w:rPr>
          <w:sz w:val="17"/>
        </w:rPr>
        <w:t>U1 = UNI; U2 = UNI2-h; g. = genomics; h. = histology. MOTCat [TTA] is a reproduction in TTA Table 1.</w:t>
      </w:r>
    </w:p>
    <w:p>
      <w:pPr>
        <w:spacing w:after="60"/>
      </w:pPr>
      <w:r>
        <w:rPr>
          <w:sz w:val="17"/>
        </w:rPr>
        <w:t>NR = no separate source cohort. CRC, KIPAN, LUNG and STES are not renamed to DCT cohorts.</w:t>
      </w:r>
    </w:p>
    <w:p>
      <w:pPr>
        <w:spacing w:after="60"/>
      </w:pPr>
      <w:r>
        <w:rPr>
          <w:sz w:val="17"/>
        </w:rPr>
        <w:t>Red bold = highest available report value; underline = second. LUSC has no comparator and is not ranked.</w:t>
      </w:r>
    </w:p>
    <w:p>
      <w:pPr>
        <w:spacing w:after="60"/>
      </w:pPr>
      <w:r>
        <w:rPr>
          <w:sz w:val="17"/>
        </w:rPr>
        <w:t>DCT: author five-fold best-validation summary. No Overall across different cohort sets. Full source means/SD: JSON.</w:t>
      </w:r>
    </w:p>
    <w:sectPr w:rsidR="00FC693F" w:rsidRPr="0006063C" w:rsidSect="00034616">
      <w:pgSz w:w="16838" w:h="11906" w:orient="landscape"/>
      <w:pgMar w:top="737" w:right="680" w:bottom="73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color w:val="000000"/>
      <w:sz w:val="1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3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