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全切片病理图像与分子组学提供互补的肿瘤预后信息，但两种模态缺少天然的细粒度对应关系。现有融合方法能够聚合互补证据，跨模态匹配本身却往往只接受患者级预测目标的间接监督。本文提出 DCT，将阶段条件最优运输与运输感知通路重建连接为统一的生存预测框架。模型首先以槽注意力压缩病理和通路输入，再通过跨患者复用的模态内原型建立固定索引的语义槽。在此基础上，模型结合多种几何距离、可学习的阶段配对代价和证据边际求解跨模态运输计划，并通过运输事件表征预测离散时间生存风险。训练时，同一运输计划进一步将病理槽聚合到组学坐标，与组学自重建共同恢复编码后的通路嵌入，使跨模态联系同时接受预测与重建约束。</w:t>
      </w:r>
    </w:p>
    <w:p>
      <w:pPr>
        <w:jc w:val="both"/>
      </w:pPr>
      <w:r>
        <w:rPr>
          <w:rFonts w:ascii="Times New Roman" w:hAnsi="Times New Roman" w:eastAsia="宋体"/>
          <w:b w:val="0"/>
          <w:color w:val="000000"/>
          <w:sz w:val="21"/>
        </w:rPr>
        <w:t>在 TCGA-BLCA 与 TCGA-KIRC 的 UNI2-h 五折损失消融记录中，完整模型的平均 C-index 分别为 0.7238 和 0.8224，相对同架构仅使用患者级生存似然的配置提高 0.0237 和 0.0104。结果支持完整联合训练目标在当前两队列中的任务价值。后续 Direct 与 Independent 机制对照批次出现折级产物重复，既有控制臂汇总尚未建立独立运行溯源，因此本文撤回其数值和相对提升，不据此主张运输机制的独立收益。本文报告每折最佳验证 epoch 的 C-index 及折间统计，结论对应现有损失消融、单随机种子的评估范围。</w:t>
      </w:r>
    </w:p>
    <w:p>
      <w:pPr>
        <w:jc w:val="both"/>
      </w:pPr>
      <w:r>
        <w:rPr>
          <w:rFonts w:ascii="Times New Roman" w:hAnsi="Times New Roman" w:eastAsia="宋体"/>
          <w:b w:val="0"/>
          <w:color w:val="000000"/>
          <w:sz w:val="21"/>
        </w:rPr>
        <w:t>关键词：多模态生存预测；计算病理；语义槽；最优运输；通路重建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相关信息。全切片病理图像呈现组织结构、细胞形态和微环境，分子通路描述另一尺度的肿瘤状态。两类输入的规模与组织方式差异明显：一张切片可包含大量图像块，组学则按基因或通路组织。联合建模的核心问题因此不仅是压缩输入，还包括决定哪些跨模态证据应当联系，以及这些联系如何参与风险预测。</w:t>
      </w:r>
    </w:p>
    <w:p>
      <w:pPr>
        <w:jc w:val="both"/>
      </w:pPr>
      <w:r>
        <w:rPr>
          <w:rFonts w:ascii="Times New Roman" w:hAnsi="Times New Roman" w:eastAsia="宋体"/>
          <w:b w:val="0"/>
          <w:color w:val="000000"/>
          <w:sz w:val="21"/>
        </w:rPr>
        <w:t>跨模态共同注意力能够建立病理实例与组学特征之间的交互，最优运输进一步为这种软匹配引入边际质量约束 [1,2]。槽式建模则以少量潜在事件组织高维输入，使患者特异的结构化证据能够参与模态内和模态间交互 [3,4]。然而，患者内产生的局部槽具有交换性，相同槽编号不天然具有跨患者一致的内容。与此同时，若跨模态匹配仅接受最终风险预测的监督，学习到的联系是否仍保留可恢复的分子信息，也缺少直接训练信号。</w:t>
      </w:r>
    </w:p>
    <w:p>
      <w:pPr>
        <w:jc w:val="both"/>
      </w:pPr>
      <w:r>
        <w:rPr>
          <w:rFonts w:ascii="Times New Roman" w:hAnsi="Times New Roman" w:eastAsia="宋体"/>
          <w:b w:val="0"/>
          <w:color w:val="000000"/>
          <w:sz w:val="21"/>
        </w:rPr>
        <w:t>本文研究一种具体的解决路径：先建立可复用的模态内槽坐标，再让跨模态运输同时服务于阶段风险读取和通路表征恢复。DCT 对每种模态使用跨患者共享的原型字典，将局部槽重新组织为固定索引的语义槽；随后在多个潜在预后阶段、多个几何分支中求解运输计划。计划的质量与配对槽内容共同形成运输事件表征，用于患者风险预测。</w:t>
      </w:r>
    </w:p>
    <w:p>
      <w:pPr>
        <w:jc w:val="both"/>
      </w:pPr>
      <w:r>
        <w:rPr>
          <w:rFonts w:ascii="Times New Roman" w:hAnsi="Times New Roman" w:eastAsia="宋体"/>
          <w:b w:val="0"/>
          <w:color w:val="000000"/>
          <w:sz w:val="21"/>
        </w:rPr>
        <w:t>训练阶段，DCT 复用实际预测路径的运输计划，将病理槽聚合到组学侧坐标，并通过可学习的通路查询重建通路嵌入。组学槽还执行自重建。两条重建支路共享解码器，使模型同时学习模态内的信息保留与跨模态的信息恢复。重建约束通过运输计划回传至配对结构；阶段融合门与重建目标停止梯度，控制辅助目标影响主预测的方式。</w:t>
      </w:r>
    </w:p>
    <w:p>
      <w:pPr>
        <w:jc w:val="both"/>
      </w:pPr>
      <w:r>
        <w:rPr>
          <w:rFonts w:ascii="Times New Roman" w:hAnsi="Times New Roman" w:eastAsia="宋体"/>
          <w:b w:val="0"/>
          <w:color w:val="000000"/>
          <w:sz w:val="21"/>
        </w:rPr>
        <w:t>本文的工作包含三个相互衔接的方面。首先，构建原型坐标、阶段条件多几何运输和事件风险读取组成的预测框架。其次，将同一运输结构用于通路嵌入重建，并联合删失感知排序、逐槽生存监督与多样性约束训练。最后，在 BLCA、KIRC 上分析七组训练目标，并定义 Direct 与 Independent 对照，分别针对重建中的运输对齐以及预测与重建中的联合匹配关系。机制对照当前仅保留实验定义，数值比较暂不进入结论。本文明确保留槽注意力、最优运输和重建学习的既有技术归属，将贡献集中于上述计算路径及其组合。</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ind w:firstLine="0"/>
        <w:jc w:val="center"/>
      </w:pPr>
      <w:r>
        <w:drawing>
          <wp:inline xmlns:a="http://schemas.openxmlformats.org/drawingml/2006/main" xmlns:pic="http://schemas.openxmlformats.org/drawingml/2006/picture">
            <wp:extent cx="5940000" cy="3661377"/>
            <wp:docPr id="1" name="Picture 1" descr="DCT v3.13 的预测与训练路径"/>
            <wp:cNvGraphicFramePr>
              <a:graphicFrameLocks noChangeAspect="1"/>
            </wp:cNvGraphicFramePr>
            <a:graphic>
              <a:graphicData uri="http://schemas.openxmlformats.org/drawingml/2006/picture">
                <pic:pic>
                  <pic:nvPicPr>
                    <pic:cNvPr id="0" name="v313_architecture.png"/>
                    <pic:cNvPicPr/>
                  </pic:nvPicPr>
                  <pic:blipFill>
                    <a:blip r:embed="rId10"/>
                    <a:stretch>
                      <a:fillRect/>
                    </a:stretch>
                  </pic:blipFill>
                  <pic:spPr>
                    <a:xfrm>
                      <a:off x="0" y="0"/>
                      <a:ext cx="5940000" cy="3661377"/>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1 DCT v3.13 完整框架。（A）病理块与组学通路分别编码，通过局部槽注意力和模态内原型坐标形成语义槽。（B）四个潜在阶段、三个几何分支分别学习带证据边际的运输计划。（C）运输质量和槽对内容形成事件表示，经事件 Transformer、阶段门与风险头得到患者生存预测。（D）训练时复用同一预测运输计划：仅在重建支路中对几何分支取均值，将病理槽映射到组学槽坐标，并以停止梯度的阶段权重融合；组学槽直接执行 self 重建，两支路共用通路查询解码器。橙色 SG 表示停止梯度，运输计划保持可微；实线表示预测路径，虚线表示训练支路。图中的张量色块、病理纹理和生存曲线均为示意。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实现对阶段权重重新归一化。解码器以可学习的通路查询为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权重均为零，训练目标与旧版本方向正则分别定义。标准推理通过事实运输和风险头得到预测，辅助重建头不参与生成最终风险。</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数据与评价口径</w:t>
      </w:r>
    </w:p>
    <w:p>
      <w:pPr>
        <w:jc w:val="both"/>
      </w:pPr>
      <w:r>
        <w:rPr>
          <w:rFonts w:ascii="Times New Roman" w:hAnsi="Times New Roman" w:eastAsia="宋体"/>
          <w:b w:val="0"/>
          <w:color w:val="000000"/>
          <w:sz w:val="21"/>
        </w:rPr>
        <w:t>本文使用 TCGA-BLCA 与 TCGA-KIRC 的已配对病理、通路组学和随访输入，目标字段为疾病特异性生存时间。病理侧使用 UNI2-h 的 1536 维预提取特征，每例最多采样 2048 个图像块；各训练目标共享输入、槽架构和五折划分设置。</w:t>
      </w:r>
    </w:p>
    <w:p>
      <w:pPr>
        <w:jc w:val="both"/>
      </w:pPr>
      <w:r>
        <w:rPr>
          <w:rFonts w:ascii="Times New Roman" w:hAnsi="Times New Roman" w:eastAsia="宋体"/>
          <w:b w:val="0"/>
          <w:color w:val="000000"/>
          <w:sz w:val="21"/>
        </w:rPr>
        <w:t>实验采用现有五折训练与验证流程，随机种子为 3，每折训练 30 epochs。每折报告训练期间最高验证 C-index 及对应 epoch，再计算五折均值和样本标准差。相同验证集用于选择 epoch 和报告该折分数，因此本文将这些数值表述为最佳验证结果。训练侧拟合时间分箱和删失参考。本文的主要评价量为已有日志中的 C-index，不将训练 IPCW 加权等同于 IPCW C-index。</w:t>
      </w:r>
    </w:p>
    <w:p>
      <w:pPr>
        <w:jc w:val="both"/>
      </w:pPr>
      <w:r>
        <w:rPr>
          <w:rFonts w:ascii="Times New Roman" w:hAnsi="Times New Roman" w:eastAsia="宋体"/>
          <w:b w:val="0"/>
          <w:color w:val="000000"/>
          <w:sz w:val="21"/>
        </w:rPr>
        <w:t>本文的核心数值证据保留 7 组损失配置在两个癌种上的 70 个已记录折级结果。2026 年 10 月 5 日的批次审查指出，后续 Stage A 的 Direct、Independent 产物存在折间重复；这一批次与上述损失消融分开处理。此前只有汇总、缺少独立运行溯源的 BLCA 控制臂数值亦暂不引用。独立外层测试、外部中心评价和多种子结果不进入本稿的性能表。表中均值差按展示的四位小数均值计算，单位为 C-index 绝对差。</w:t>
      </w:r>
    </w:p>
    <w:p>
      <w:pPr>
        <w:pStyle w:val="Heading2"/>
        <w:ind w:firstLine="0"/>
      </w:pPr>
      <w:r>
        <w:rPr>
          <w:rFonts w:ascii="Times New Roman" w:hAnsi="Times New Roman" w:eastAsia="黑体"/>
          <w:b/>
          <w:color w:val="000000"/>
          <w:sz w:val="23"/>
        </w:rPr>
        <w:t>4.2 实现与消融设置</w:t>
      </w:r>
    </w:p>
    <w:p>
      <w:pPr>
        <w:jc w:val="both"/>
      </w:pPr>
      <w:r>
        <w:rPr>
          <w:rFonts w:ascii="Times New Roman" w:hAnsi="Times New Roman" w:eastAsia="宋体"/>
          <w:b w:val="0"/>
          <w:color w:val="000000"/>
          <w:sz w:val="21"/>
        </w:rPr>
        <w:t>训练使用 AdamW，学习率与权重衰减均为 0.0005，batch size 为 8，余弦调度，梯度裁剪为 1.0。共同隐维为 256，两种模态各 8 个槽，槽聚合迭代 3 次，运输使用 4 个潜在阶段和 3 个几何分支。通路解码器使用可学习查询；学习运输与重建配置对应完整模型 Full。</w:t>
      </w:r>
    </w:p>
    <w:p>
      <w:pPr>
        <w:jc w:val="both"/>
      </w:pPr>
      <w:r>
        <w:rPr>
          <w:rFonts w:ascii="Times New Roman" w:hAnsi="Times New Roman" w:eastAsia="宋体"/>
          <w:b w:val="0"/>
          <w:color w:val="000000"/>
          <w:sz w:val="21"/>
        </w:rPr>
        <w:t>七组训练目标从患者级 NLL 开始逐步增加辅助监督。其中 Exp4 和 Exp5 均以 Exp3 为起点，分别加入 self 或 cross 重建；Exp6 同时启用两支路。它们并非 Exp4→Exp5 的连续累加。</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1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p>
      <w:pPr>
        <w:pStyle w:val="Heading2"/>
        <w:ind w:firstLine="0"/>
      </w:pPr>
      <w:r>
        <w:rPr>
          <w:rFonts w:ascii="Times New Roman" w:hAnsi="Times New Roman" w:eastAsia="黑体"/>
          <w:b/>
          <w:color w:val="000000"/>
          <w:sz w:val="23"/>
        </w:rPr>
        <w:t>4.3 联合训练目标的总体收益</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2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ind w:firstLine="0"/>
        <w:jc w:val="center"/>
      </w:pPr>
      <w:r>
        <w:drawing>
          <wp:inline xmlns:a="http://schemas.openxmlformats.org/drawingml/2006/main" xmlns:pic="http://schemas.openxmlformats.org/drawingml/2006/picture">
            <wp:extent cx="5940000" cy="2728000"/>
            <wp:docPr id="2" name="Picture 2" descr="BLCA 与 KIRC 七组训练目标的均值"/>
            <wp:cNvGraphicFramePr>
              <a:graphicFrameLocks noChangeAspect="1"/>
            </wp:cNvGraphicFramePr>
            <a:graphic>
              <a:graphicData uri="http://schemas.openxmlformats.org/drawingml/2006/picture">
                <pic:pic>
                  <pic:nvPicPr>
                    <pic:cNvPr id="0" name="v313_loss_ablation.png"/>
                    <pic:cNvPicPr/>
                  </pic:nvPicPr>
                  <pic:blipFill>
                    <a:blip r:embed="rId11"/>
                    <a:stretch>
                      <a:fillRect/>
                    </a:stretch>
                  </pic:blipFill>
                  <pic:spPr>
                    <a:xfrm>
                      <a:off x="0" y="0"/>
                      <a:ext cx="5940000" cy="2728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2 七组训练目标的五折平均 C-index。Exp4 与 Exp5 是从 Exp3 出发的两条单支重建分支，图中横向排列用于展示配置而非表示连续累加。两个癌种的 Full 均值均最高，KIRC 的中间配置呈现先降后升。</w:t>
      </w:r>
    </w:p>
    <w:p>
      <w:pPr>
        <w:pStyle w:val="Heading2"/>
        <w:ind w:firstLine="0"/>
      </w:pPr>
      <w:r>
        <w:rPr>
          <w:rFonts w:ascii="Times New Roman" w:hAnsi="Times New Roman" w:eastAsia="黑体"/>
          <w:b/>
          <w:color w:val="000000"/>
          <w:sz w:val="23"/>
        </w:rPr>
        <w:t>4.4 运输机制对照与核验状态</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检验对象</w:t>
            </w:r>
          </w:p>
        </w:tc>
        <w:tc>
          <w:tcPr>
            <w:tcW w:type="dxa" w:w="2013"/>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9"/>
              </w:rPr>
              <w:t>数值状态</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按学习 OT 运输的病理槽</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完整联合配置</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使用损失实验 Exp6</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未运输的病理槽</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重建输入的运输对齐</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暂不报告控制臂分数</w:t>
            </w:r>
          </w:p>
        </w:tc>
      </w:tr>
      <w:tr>
        <w:trPr>
          <w:cantSplit/>
        </w:trPr>
        <w:tc>
          <w:tcPr>
            <w:tcW w:type="dxa" w:w="184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按独立耦合聚合的病理槽</w:t>
            </w:r>
          </w:p>
        </w:tc>
        <w:tc>
          <w:tcPr>
            <w:tcW w:type="dxa" w:w="181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预测与重建的联合匹配</w:t>
            </w:r>
          </w:p>
        </w:tc>
        <w:tc>
          <w:tcPr>
            <w:tcW w:type="dxa" w:w="2013"/>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9"/>
              </w:rPr>
              <w:t>暂不报告控制臂分数</w:t>
            </w:r>
          </w:p>
        </w:tc>
      </w:tr>
    </w:tbl>
    <w:p>
      <w:pPr>
        <w:keepLines/>
        <w:spacing w:line="264" w:lineRule="auto"/>
        <w:ind w:firstLine="0"/>
      </w:pPr>
      <w:r>
        <w:rPr>
          <w:rFonts w:ascii="Times New Roman" w:hAnsi="Times New Roman" w:eastAsia="宋体"/>
          <w:b w:val="0"/>
          <w:color w:val="000000"/>
          <w:sz w:val="18"/>
        </w:rPr>
        <w:t>表 3 机制对照的计算定义。两种控制臂改变不同计算位置；本表不提供其性能排名。</w:t>
      </w:r>
    </w:p>
    <w:p>
      <w:pPr>
        <w:jc w:val="both"/>
      </w:pPr>
      <w:r>
        <w:rPr>
          <w:rFonts w:ascii="Times New Roman" w:hAnsi="Times New Roman" w:eastAsia="宋体"/>
          <w:b w:val="0"/>
          <w:color w:val="000000"/>
          <w:sz w:val="21"/>
        </w:rPr>
        <w:t>Direct 保留学习 OT 的主预测，比较对象是 cross 解码器是否读取已经运输的病理槽。Independent 则保留学习边际，将联合计划替换为边际乘积，并同时作用于预测和重建。它们分别用于检验运输对齐与非独立联合匹配，不能仅比较两种控制臂的均值就判断完整机制是否有效。</w:t>
      </w:r>
    </w:p>
    <w:p>
      <w:pPr>
        <w:jc w:val="both"/>
      </w:pPr>
      <w:r>
        <w:rPr>
          <w:rFonts w:ascii="Times New Roman" w:hAnsi="Times New Roman" w:eastAsia="宋体"/>
          <w:b w:val="0"/>
          <w:color w:val="000000"/>
          <w:sz w:val="21"/>
        </w:rPr>
        <w:t>最新审查报告指出，Stage A 中按五折命名的训练曲线和最终预测文件存在字节重复，无法支持五次独立折级评价；部分原汇总数字也无法追溯至已核验产物。此前 BLCA 十任务汇总尚未完成独立日志、配置和患者预测的对应核验。为避免混用不同批次，本文撤回此前控制臂均值、折间标准差、逐折表及相对 Full 的提升图，不把它们作为方法有效性的证据。</w:t>
      </w:r>
    </w:p>
    <w:p>
      <w:pPr>
        <w:jc w:val="both"/>
      </w:pPr>
      <w:r>
        <w:rPr>
          <w:rFonts w:ascii="Times New Roman" w:hAnsi="Times New Roman" w:eastAsia="宋体"/>
          <w:b w:val="0"/>
          <w:color w:val="000000"/>
          <w:sz w:val="21"/>
        </w:rPr>
        <w:t>机制比较需要逐折核对实际运行的折范围、患者划分、配置、输出位置与文件摘要，并使控制臂与 Full 的评分协议一致。不同文件摘要和非零折间标准差本身不能替代运行溯源；重跑也不应以接近预期分数或呈现预期提升作为验收条件。</w:t>
      </w:r>
    </w:p>
    <w:p>
      <w:pPr>
        <w:jc w:val="both"/>
      </w:pPr>
      <w:r>
        <w:rPr>
          <w:rFonts w:ascii="Times New Roman" w:hAnsi="Times New Roman" w:eastAsia="宋体"/>
          <w:b w:val="0"/>
          <w:color w:val="000000"/>
          <w:sz w:val="21"/>
        </w:rPr>
        <w:t>审查报告另称 Stage B 的 SlotSPE matched/native 四组产物未发现上述重复。当前审查文本未提供四组完整逐折分数及汇总数值，本文不补造外部基线表，也不据此计算 DCT 相对 SlotSPE 的优势。</w:t>
      </w:r>
    </w:p>
    <w:p>
      <w:pPr>
        <w:pStyle w:val="Heading2"/>
        <w:ind w:firstLine="0"/>
      </w:pPr>
      <w:r>
        <w:rPr>
          <w:rFonts w:ascii="Times New Roman" w:hAnsi="Times New Roman" w:eastAsia="黑体"/>
          <w:b/>
          <w:color w:val="000000"/>
          <w:sz w:val="23"/>
        </w:rPr>
        <w:t>4.5 单支重建与版本变体的解释</w:t>
      </w:r>
    </w:p>
    <w:p>
      <w:pPr>
        <w:jc w:val="both"/>
      </w:pPr>
      <w:r>
        <w:rPr>
          <w:rFonts w:ascii="Times New Roman" w:hAnsi="Times New Roman" w:eastAsia="宋体"/>
          <w:b w:val="0"/>
          <w:color w:val="000000"/>
          <w:sz w:val="21"/>
        </w:rPr>
        <w:t>Exp4、Exp5、Exp6 在 BLCA 的均值分别为 0.7101、0.7188、0.7238，在 KIRC 为 0.8046、0.8027、0.8224。两个癌种的双支完整配置均高于单支配置，支持当前双支联合配方的选择。然而，单支系数为 0.025，Full 每支为 0.05，总辅助重建强度亦不同；这些结果同时反映支路组合和权重变化，不构成严格的协同效应证明。</w:t>
      </w:r>
    </w:p>
    <w:p>
      <w:pPr>
        <w:jc w:val="both"/>
      </w:pPr>
      <w:r>
        <w:rPr>
          <w:rFonts w:ascii="Times New Roman" w:hAnsi="Times New Roman" w:eastAsia="宋体"/>
          <w:b w:val="0"/>
          <w:color w:val="000000"/>
          <w:sz w:val="21"/>
        </w:rPr>
        <w:t>另外的 BLCA UNI2-h 版本记录中，v3.14 masked transport 的均值为 0.7093，v3.15 NLL-only RTI 为 0.6763，均低于 v3.13 的 0.7238。v3.15 使用独立架构，不能把其差距视为同架构的重建损失贡献。本文的损失收益采用 Exp0 对照，运输机制的数值收益暂不报告；版本比较仅提供补充背景。</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同架构 Exp0 与 Full 的比较表明，完整联合目标在 BLCA 和 KIRC 的已有记录中均提高五折平均 C-index。这支持当前联合配方的整体训练价值，但不能把总提升拆分为某一运输机制的独立贡献。Direct 与 Independent 的数值证据已经撤回，机制收益仍需有效对照验证。</w:t>
      </w:r>
    </w:p>
    <w:p>
      <w:pPr>
        <w:jc w:val="both"/>
      </w:pPr>
      <w:r>
        <w:rPr>
          <w:rFonts w:ascii="Times New Roman" w:hAnsi="Times New Roman" w:eastAsia="宋体"/>
          <w:b w:val="0"/>
          <w:color w:val="000000"/>
          <w:sz w:val="21"/>
        </w:rPr>
        <w:t>运输感知重建在计算上把辅助信息恢复约束连接到主预测实际使用的匹配结构。源码中的可微路径说明该约束能够影响运输和槽表示，并不自动等于已测得预后收益。生存排序分数也不直接说明运输边对应真实分子关系，不能替代通路重建误差或生物学注释评价。</w:t>
      </w:r>
    </w:p>
    <w:p>
      <w:pPr>
        <w:jc w:val="both"/>
      </w:pPr>
      <w:r>
        <w:rPr>
          <w:rFonts w:ascii="Times New Roman" w:hAnsi="Times New Roman" w:eastAsia="宋体"/>
          <w:b w:val="0"/>
          <w:color w:val="000000"/>
          <w:sz w:val="21"/>
        </w:rPr>
        <w:t>损失消融呈现队列差异。KIRC 中间配置低于仅 NLL，Full 则表现更高且折间波动较小；BLCA 的各组均值也并非始终随重建支路增加而提升。论文据实报告均值和逐折数据，避免把完整联合配方的收益解释成所有辅助项均可单独、普遍提高性能。</w:t>
      </w:r>
    </w:p>
    <w:p>
      <w:pPr>
        <w:jc w:val="both"/>
      </w:pPr>
      <w:r>
        <w:rPr>
          <w:rFonts w:ascii="Times New Roman" w:hAnsi="Times New Roman" w:eastAsia="宋体"/>
          <w:b w:val="0"/>
          <w:color w:val="000000"/>
          <w:sz w:val="21"/>
        </w:rPr>
        <w:t>本文采用现有五折最佳验证结果和一个随机种子，验证集同时承担 epoch 选择与评分。相应结果支持当前损失消融条件下的性能比较，尚不足以估计独立测试泛化或跨中心适用性。批次审查报告将 70 个损失消融结果与存在重复的后续控制臂分开处理；本稿尚未取得全部原始产物作逐患者重核验。SlotSPE 四组逐折分数未在当前材料中提供，因此本文不主张优于外部方法。</w:t>
      </w:r>
    </w:p>
    <w:p>
      <w:pPr>
        <w:jc w:val="both"/>
      </w:pPr>
      <w:r>
        <w:rPr>
          <w:rFonts w:ascii="Times New Roman" w:hAnsi="Times New Roman" w:eastAsia="宋体"/>
          <w:b w:val="0"/>
          <w:color w:val="000000"/>
          <w:sz w:val="21"/>
        </w:rPr>
        <w:t>模型目前依赖配对病理与组学输入。辅助任务重建编码后的通路嵌入，同一患者的组学还参与事实运输计算；这与仅靠病理恢复原始基因表达、缺失组学推理或临床因果推断具有不同问题定义。原型索引和运输权重提供计算结构，生物学语义需要额外注释支持。direction 等损失在 v3.13 中关闭，旧版本的方向审计结果不用于证明本文方法。</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本文提出结合阶段条件多几何最优运输与运输感知通路重建的多模态生存预测框架 DCT。模型以原型坐标组织槽表示，使同一跨模态运输计划同时参与风险读取和辅助通路恢复。在 UNI2-h 五折最佳验证损失消融记录中，完整联合目标相对同架构仅 NLL 配置，在 BLCA 和 KIRC 分别提高 0.0237 和 0.0104。结果支持当前联合训练配方的整体价值。后续机制对照出现折级产物重复，本文已撤回其数值与提升结论，尚不主张已证明运输对齐或学习联合耦合的独立性能收益。</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12">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13">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arXiv:2512.01116, 2025. </w:t>
      </w:r>
      <w:hyperlink r:id="rId14">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15">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16">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17">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18">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19">
        <w:r>
          <w:t>官方模型与版本说明</w:t>
        </w:r>
      </w:hyperlink>
      <w:r>
        <w:rPr>
          <w:rFonts w:ascii="Times New Roman" w:hAnsi="Times New Roman" w:eastAsia="宋体"/>
          <w:b w:val="0"/>
          <w:color w:val="000000"/>
          <w:sz w:val="19"/>
        </w:rPr>
        <w:t>. Accessed 2026-10-03.</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个折级评分，格式为 C-index（epoch 索引）。正文统计由这些折值重算。所有配置共享 v3.13 预测架构，辅助目标随表 1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5" w:color="707070"/>
              <w:bottom w:val="single" w:sz="5" w:color="707070"/>
            </w:tcBorders>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2" w:color="D6D6D6"/>
              <w:bottom w:val="single" w:sz="2" w:color="D6D6D6"/>
            </w:tcBorders>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1"/>
        <w:ind w:firstLine="0"/>
      </w:pPr>
      <w:r>
        <w:rPr>
          <w:rFonts w:ascii="Times New Roman" w:hAnsi="Times New Roman" w:eastAsia="黑体"/>
          <w:b/>
          <w:color w:val="000000"/>
          <w:sz w:val="26"/>
        </w:rPr>
        <w:t>附录 B 结果来源与统计说明</w:t>
      </w:r>
    </w:p>
    <w:p>
      <w:pPr>
        <w:jc w:val="both"/>
      </w:pPr>
      <w:r>
        <w:rPr>
          <w:rFonts w:ascii="Times New Roman" w:hAnsi="Times New Roman" w:eastAsia="宋体"/>
          <w:b w:val="0"/>
          <w:color w:val="000000"/>
          <w:sz w:val="21"/>
        </w:rPr>
        <w:t>70 个损失消融折值来源于 v311_vs_v313_uni_comparison.md（2026-09-30 Appendix A），其记录为 UNI2-h、seed=3、batch=8、30 epochs、CLI 覆盖修复后运行。目标系数以该批实际配置及有效权重为准。</w:t>
      </w:r>
    </w:p>
    <w:p>
      <w:pPr>
        <w:jc w:val="both"/>
      </w:pPr>
      <w:r>
        <w:rPr>
          <w:rFonts w:ascii="Times New Roman" w:hAnsi="Times New Roman" w:eastAsia="宋体"/>
          <w:b w:val="0"/>
          <w:color w:val="000000"/>
          <w:sz w:val="21"/>
        </w:rPr>
        <w:t>机制数值依据 results_stageA_stageB_FINDINGS_20261005.md（637e2b8）暂停引用：Stage A 产物重复，部分汇总无法溯源。此前 BLCA 十任务与该批次的关系尚未确认，不能逐项认定历史分数为假；旧稿及机制比较图已归档并标记撤回。</w:t>
      </w:r>
    </w:p>
    <w:p>
      <w:pPr>
        <w:jc w:val="both"/>
      </w:pPr>
      <w:r>
        <w:rPr>
          <w:rFonts w:ascii="Times New Roman" w:hAnsi="Times New Roman" w:eastAsia="宋体"/>
          <w:b w:val="0"/>
          <w:color w:val="000000"/>
          <w:sz w:val="21"/>
        </w:rPr>
        <w:t>v3.14/v3.15 来源为 results_v313_v314_v315_blca_uni2h.md；旧 UNI、v3.10 和未统一来源的权重扫描不合并。队列人数、事件数及删失比例不补造。标准差为五折样本标准差，非置信区间；四舍五入可造成末位差异，均值差按展示值计算，本文不宣称统计显著。</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openaccess.thecvf.com/content/ICCV2021/html/Chen_Multimodal_Co-Attention_Transformer_for_Survival_Prediction_in_Gigapixel_Whole_Slide_ICCV_2021_paper.html" TargetMode="External"/><Relationship Id="rId13" Type="http://schemas.openxmlformats.org/officeDocument/2006/relationships/hyperlink" Target="https://openaccess.thecvf.com/content/ICCV2023/papers/Xu_Multimodal_Optimal_Transport-based_Co-Attention_Transformer_with_Global_Structure_Consistency_for_ICCV_2023_paper.pdf" TargetMode="External"/><Relationship Id="rId14" Type="http://schemas.openxmlformats.org/officeDocument/2006/relationships/hyperlink" Target="https://arxiv.org/abs/2512.01116" TargetMode="External"/><Relationship Id="rId15" Type="http://schemas.openxmlformats.org/officeDocument/2006/relationships/hyperlink" Target="https://papers.nips.cc/paper/2020/hash/8511df98c02ab60aea1b2356c013bc0f-Abstract.html" TargetMode="External"/><Relationship Id="rId16" Type="http://schemas.openxmlformats.org/officeDocument/2006/relationships/hyperlink" Target="https://papers.neurips.cc/paper_files/paper/2013/hash/af21d0c97db2e27e13572cbf59eb343d-Abstract.html" TargetMode="External"/><Relationship Id="rId17" Type="http://schemas.openxmlformats.org/officeDocument/2006/relationships/hyperlink" Target="https://peerj.com/articles/6257/" TargetMode="External"/><Relationship Id="rId18" Type="http://schemas.openxmlformats.org/officeDocument/2006/relationships/hyperlink" Target="https://pmc.ncbi.nlm.nih.gov/articles/PMC3079915/" TargetMode="External"/><Relationship Id="rId19" Type="http://schemas.openxmlformats.org/officeDocument/2006/relationships/hyperlink" Target="https://github.com/mahmoodlab/U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五折实验完整中文稿</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