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</w:rPr>
        <w:t>DCT v3.13 Ten Cancer Model Comparison</w:t>
      </w:r>
    </w:p>
    <w:p>
      <w:pPr>
        <w:jc w:val="center"/>
      </w:pPr>
      <w:r>
        <w:rPr>
          <w:b/>
          <w:color w:val="D7191C"/>
        </w:rPr>
        <w:t>Best</w:t>
      </w:r>
      <w:r>
        <w:t xml:space="preserve">     </w:t>
      </w:r>
      <w:r>
        <w:rPr>
          <w:u w:val="single"/>
        </w:rPr>
        <w:t>Second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Model</w:t>
            </w:r>
          </w:p>
        </w:tc>
        <w:tc>
          <w:tcPr>
            <w:tcW w:type="dxa" w:w="907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Modality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BRCA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COADREAD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KIRC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UCEC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LUSC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HNSC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SKCM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BLCA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STAD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Overall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MLP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SNNTrans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SlotSPE-G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ABMIL</w:t>
            </w:r>
          </w:p>
        </w:tc>
        <w:tc>
          <w:tcPr>
            <w:tcW w:type="dxa" w:w="907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TransMIL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CLAM-SB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CLAM-MB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SlotSPE-H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Porpoise</w:t>
            </w:r>
          </w:p>
        </w:tc>
        <w:tc>
          <w:tcPr>
            <w:tcW w:type="dxa" w:w="907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single" w:sz="5" w:color="111111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MCAT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MOTCat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CMTA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SurvPath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PIBD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MMP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LD-CVAE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SlotSPE</w:t>
            </w:r>
          </w:p>
        </w:tc>
        <w:tc>
          <w:tcPr>
            <w:tcW w:type="dxa" w:w="907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  <w:tc>
          <w:tcPr>
            <w:tcW w:type="dxa" w:w="117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keepNext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 w:val="0"/>
                <w:color w:val="111111"/>
                <w:sz w:val="18"/>
                <w:u w:val="none"/>
              </w:rPr>
              <w:t>--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DCT v3.13</w:t>
            </w:r>
          </w:p>
        </w:tc>
        <w:tc>
          <w:tcPr>
            <w:tcW w:type="dxa" w:w="907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g.+h.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0.6787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0.7364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0.8224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0.7928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0.6858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0.6300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0.6582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0.6654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0.7238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0.6361</w:t>
            </w:r>
          </w:p>
        </w:tc>
        <w:tc>
          <w:tcPr>
            <w:tcW w:type="dxa" w:w="1170"/>
            <w:vAlign w:val="center"/>
            <w:tcBorders>
              <w:top w:val="single" w:sz="10" w:color="111111"/>
              <w:bottom w:val="single" w:sz="10" w:color="111111"/>
              <w:left w:val="nil"/>
              <w:right w:val="nil"/>
              <w:insideH w:val="nil"/>
              <w:insideV w:val="nil"/>
            </w:tcBorders>
            <w:tcMar>
              <w:top w:w="45" w:type="dxa"/>
              <w:bottom w:w="45" w:type="dxa"/>
              <w:left w:w="45" w:type="dxa"/>
              <w:right w:w="45" w:type="dxa"/>
            </w:tcMar>
            <w:shd w:fill="FFF7CF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color w:val="111111"/>
                <w:sz w:val="18"/>
                <w:u w:val="none"/>
              </w:rPr>
              <w:t>0.7030</w:t>
            </w:r>
          </w:p>
        </w:tc>
      </w:tr>
    </w:tbl>
    <w:p>
      <w:pPr>
        <w:spacing w:after="60"/>
      </w:pPr>
      <w:r>
        <w:rPr>
          <w:sz w:val="17"/>
        </w:rPr>
        <w:t>DRAFT: baseline results/source audits pending; missing cells are --; incomplete columns are not ranked.</w:t>
      </w:r>
    </w:p>
    <w:p>
      <w:pPr>
        <w:spacing w:after="60"/>
      </w:pPr>
      <w:r>
        <w:rPr>
          <w:sz w:val="17"/>
        </w:rPr>
        <w:t>Cells: five-fold mean C-index. Overall: equal mean of ten unrounded cohort means. Fold values and SD: source JSON.</w:t>
      </w:r>
    </w:p>
    <w:p>
      <w:pPr>
        <w:spacing w:after="60"/>
      </w:pPr>
      <w:r>
        <w:rPr>
          <w:sz w:val="17"/>
        </w:rPr>
        <w:t>Best: red bold. Second: underlined. Ties at displayed precision share a dense rank. Yellow row: DCT v3.13.</w:t>
      </w:r>
    </w:p>
    <w:p>
      <w:pPr>
        <w:spacing w:after="60"/>
      </w:pPr>
      <w:r>
        <w:rPr>
          <w:sz w:val="17"/>
        </w:rPr>
        <w:t>g. = genomics; h. = histology; g.+h. = both. Patient counts are added only after common cohort identity is audited.</w:t>
      </w:r>
    </w:p>
    <w:sectPr w:rsidR="00FC693F" w:rsidRPr="0006063C" w:rsidSect="00034616"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  <w:sz w:val="1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