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</w:rPr>
        <w:t>DCT v3.13 Ten Cancer Model Comparison</w:t>
      </w:r>
    </w:p>
    <w:p>
      <w:pPr>
        <w:jc w:val="center"/>
      </w:pPr>
      <w:r>
        <w:rPr>
          <w:b/>
          <w:color w:val="D7191C"/>
        </w:rPr>
        <w:t>Best</w:t>
      </w:r>
      <w:r>
        <w:t xml:space="preserve">     </w:t>
      </w:r>
      <w:r>
        <w:rPr>
          <w:u w:val="single"/>
        </w:rPr>
        <w:t>Second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1170"/>
        <w:gridCol w:w="1170"/>
        <w:gridCol w:w="1170"/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Model</w:t>
            </w:r>
          </w:p>
        </w:tc>
        <w:tc>
          <w:tcPr>
            <w:tcW w:type="dxa" w:w="907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Modality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BRCA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COADREAD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KIRC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UCEC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LUAD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LUSC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HNSC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SKCM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BLCA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STAD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Overall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MLP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0.750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0.731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SNN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0.548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SNNTrans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0.710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0.747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0.555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0.605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0.684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SlotSPE-G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0.733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0.774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0.701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ABMIL</w:t>
            </w:r>
          </w:p>
        </w:tc>
        <w:tc>
          <w:tcPr>
            <w:tcW w:type="dxa" w:w="907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0.656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0.715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0.782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0.779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0.645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0.593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0.664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0.668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0.663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0.642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TransMIL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0.767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CLAM-SB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0.742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CLAM-MB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0.608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0.640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SlotSPE-H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0.738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0.790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0.779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0.676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Porpoise</w:t>
            </w:r>
          </w:p>
        </w:tc>
        <w:tc>
          <w:tcPr>
            <w:tcW w:type="dxa" w:w="907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0.651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0.699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0.788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0.788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0.647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0.597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0.599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0.682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0.690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0.619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MCAT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0.709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0.737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0.795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0.802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0.622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MOTCat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0.742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0.799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0.773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0.573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0.627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0.688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0.700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CMTA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0.731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0.720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0.794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0.764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0.599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0.702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SurvPath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0.727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0.577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0.611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PIBD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0.772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0.575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0.627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0.676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MMP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0.714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0.770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0.755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0.580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0.580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0.686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0.602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0.669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LD-CVAE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0.705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0.753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0.792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0.788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0.620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0.682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0.635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0.653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0.692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SlotSPE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0.779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0.773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0.815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0.813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0.683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0.634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0.642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0.688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0.708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single"/>
              </w:rPr>
              <w:t>0.671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0.721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DCT v3.13</w:t>
            </w:r>
          </w:p>
        </w:tc>
        <w:tc>
          <w:tcPr>
            <w:tcW w:type="dxa" w:w="907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0.679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0.736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0.822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0.793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0.686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single"/>
              </w:rPr>
              <w:t>0.630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single"/>
              </w:rPr>
              <w:t>0.658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0.665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D7191C"/>
                <w:sz w:val="18"/>
                <w:u w:val="none"/>
              </w:rPr>
              <w:t>0.724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0.636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single"/>
              </w:rPr>
              <w:t>0.703</w:t>
            </w:r>
          </w:p>
        </w:tc>
      </w:tr>
    </w:tbl>
    <w:p>
      <w:pPr>
        <w:spacing w:after="60"/>
      </w:pPr>
      <w:r>
        <w:rPr>
          <w:sz w:val="17"/>
        </w:rPr>
        <w:t>REFERENCE: baselines from SlotSPE Table 1 (UNI); DCT from author five-fold records (UNI2-h).</w:t>
      </w:r>
    </w:p>
    <w:p>
      <w:pPr>
        <w:spacing w:after="60"/>
      </w:pPr>
      <w:r>
        <w:rPr>
          <w:sz w:val="17"/>
        </w:rPr>
        <w:t>Encoder and patient splits are not aligned; ranks compare reported values, not a matched reproduction.</w:t>
      </w:r>
    </w:p>
    <w:p>
      <w:pPr>
        <w:spacing w:after="60"/>
      </w:pPr>
      <w:r>
        <w:rPr>
          <w:sz w:val="17"/>
        </w:rPr>
        <w:t>Best: red bold. Second: underlined. Ties share rank. Overall: paper values for baselines; unrounded macro mean for DCT.</w:t>
      </w:r>
    </w:p>
    <w:p>
      <w:pPr>
        <w:spacing w:after="60"/>
      </w:pPr>
      <w:r>
        <w:rPr>
          <w:sz w:val="17"/>
        </w:rPr>
        <w:t>g. = genomics; h. = histology. Paper cohort counts are not assigned to the DCT row. Source means/SD are retained in JSON.</w:t>
      </w:r>
    </w:p>
    <w:sectPr w:rsidR="00FC693F" w:rsidRPr="0006063C" w:rsidSect="00034616">
      <w:pgSz w:w="16838" w:h="11906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1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