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全切片病理图像与分子组学提供互补的癌症预后信息，但两种模态缺少细粒度配对标注，患者内学习得到的槽也不天然具有一致的跨患者索引。本文提出 DCT，以模态内共享原型组织槽表示，在紧凑槽空间中学习阶段条件多几何最优运输，并将同一运输计划同时用于生存风险读取与通路表征重建。模型首先将病理图像块和组学通路编码为少量槽，再通过阶段配对代价和证据边际求解运输计划。训练时，组学槽执行自重建，病理槽经事实运输聚合到组学侧后执行跨模态重建；两条支路共享通路查询解码器，从而为预测路径中的匹配结构提供辅助约束。</w:t>
      </w:r>
    </w:p>
    <w:p>
      <w:pPr>
        <w:jc w:val="both"/>
      </w:pPr>
      <w:r>
        <w:rPr>
          <w:rFonts w:ascii="Times New Roman" w:hAnsi="Times New Roman" w:eastAsia="宋体"/>
          <w:b w:val="0"/>
          <w:color w:val="000000"/>
          <w:sz w:val="21"/>
        </w:rPr>
        <w:t>现有 UNI2-h 五折最佳验证记录覆盖十个 TCGA 癌症队列，完整模型的队列平均 C-index 为 0.7030。在 BLCA 和 KIRC 的同架构损失消融中，完整联合目标分别达到 0.7238 和 0.8224，相对仅患者级 NLL 提高 2.37 和 1.04 个 C-index 百分点。重跑并审计的机制对照显示，Full 相对 Direct 分别提高 2.09 和 1.93 个百分点，相对 Independent 分别提高 1.46 和 1.70 个百分点。这些结果支持当前完整训练配方与运输计算路径的任务价值。本文采用单随机种子、按验证集选择最佳 epoch 的评价口径；平均提升不表述为统计显著、独立测试泛化或生物学因果证据。</w:t>
      </w:r>
    </w:p>
    <w:p>
      <w:pPr>
        <w:jc w:val="both"/>
      </w:pPr>
      <w:r>
        <w:rPr>
          <w:rFonts w:ascii="Times New Roman" w:hAnsi="Times New Roman" w:eastAsia="宋体"/>
          <w:b w:val="0"/>
          <w:color w:val="000000"/>
          <w:sz w:val="21"/>
        </w:rPr>
        <w:t>关键词：多模态生存预测；计算病理；槽表示；最优运输；通路重建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信息。全切片病理图像呈现组织结构、细胞形态和微环境，组学输入描述分子通路状态。两者在数量和表示尺度上差异明显：病理侧包含大量图像块，组学侧由若干通路向量组成。联合建模既需要压缩输入，也需要决定哪些跨模态信息应当联系，以及这些联系如何参与删失条件下的风险学习。</w:t>
      </w:r>
    </w:p>
    <w:p>
      <w:pPr>
        <w:jc w:val="both"/>
      </w:pPr>
      <w:r>
        <w:rPr>
          <w:rFonts w:ascii="Times New Roman" w:hAnsi="Times New Roman" w:eastAsia="宋体"/>
          <w:b w:val="0"/>
          <w:color w:val="000000"/>
          <w:sz w:val="21"/>
        </w:rPr>
        <w:t>跨模态共同注意力能够建立病理实例与组学特征之间的交互，最优运输为软匹配提供边际质量约束 [1,2]。SlotSPE 进一步将多模态证据组织为患者特异的结构化预后槽，并使用重建学习保留输入信息 [3]。槽式表示减少了交互规模，但患者内的槽具有交换性；同一编号不自动对应同一组织或分子事件。与此同时，只由患者级预测目标监督的匹配，可能缺少对可恢复分子信息的直接约束。</w:t>
      </w:r>
    </w:p>
    <w:p>
      <w:pPr>
        <w:jc w:val="both"/>
      </w:pPr>
      <w:r>
        <w:rPr>
          <w:rFonts w:ascii="Times New Roman" w:hAnsi="Times New Roman" w:eastAsia="宋体"/>
          <w:b w:val="0"/>
          <w:color w:val="000000"/>
          <w:sz w:val="21"/>
        </w:rPr>
        <w:t>本文研究的路径是先建立可复用的模态内原型坐标，再让跨模态运输共同承担预测与重建。DCT 使用分别学习、跨患者共享的两套模态内原型，将局部槽组织为固定索引的表示；随后在多个潜在阶段与几何分支中求解运输计划。运输质量和配对槽内容共同形成事件表示，用于离散时间生存预测。固定原型索引提供可复用的计算坐标，其生物学含义仍需注释与跨患者一致性分析确认。</w:t>
      </w:r>
    </w:p>
    <w:p>
      <w:pPr>
        <w:jc w:val="both"/>
      </w:pPr>
      <w:r>
        <w:rPr>
          <w:rFonts w:ascii="Times New Roman" w:hAnsi="Times New Roman" w:eastAsia="宋体"/>
          <w:b w:val="0"/>
          <w:color w:val="000000"/>
          <w:sz w:val="21"/>
        </w:rPr>
        <w:t>DCT 的运输感知重建直接复用预测使用的事实计划。病理槽先通过该计划聚合到组学侧，再由可学习通路查询恢复编码后的通路 token；组学槽使用同一解码器执行自重建。目标 token 和阶段融合权重停止梯度，运输计划与槽内容保持可微，使辅助重建能够约束实际匹配路径。患者级 NLL、IPCW 排序、逐槽生存监督和多样性约束共同组成训练目标。</w:t>
      </w:r>
    </w:p>
    <w:p>
      <w:pPr>
        <w:jc w:val="both"/>
      </w:pPr>
      <w:r>
        <w:rPr>
          <w:rFonts w:ascii="Times New Roman" w:hAnsi="Times New Roman" w:eastAsia="宋体"/>
          <w:b w:val="0"/>
          <w:color w:val="000000"/>
          <w:sz w:val="21"/>
        </w:rPr>
        <w:t>本文的主要工作包括：</w:t>
      </w:r>
    </w:p>
    <w:p>
      <w:pPr>
        <w:jc w:val="both"/>
      </w:pPr>
      <w:r>
        <w:rPr>
          <w:rFonts w:ascii="Times New Roman" w:hAnsi="Times New Roman" w:eastAsia="宋体"/>
          <w:b w:val="0"/>
          <w:color w:val="000000"/>
          <w:sz w:val="21"/>
        </w:rPr>
        <w:t>1. 构建以模态内共享原型为坐标、以阶段条件多几何运输为交互、以运输事件为风险读取单元的多模态框架。</w:t>
      </w:r>
    </w:p>
    <w:p>
      <w:pPr>
        <w:jc w:val="both"/>
      </w:pPr>
      <w:r>
        <w:rPr>
          <w:rFonts w:ascii="Times New Roman" w:hAnsi="Times New Roman" w:eastAsia="宋体"/>
          <w:b w:val="0"/>
          <w:color w:val="000000"/>
          <w:sz w:val="21"/>
        </w:rPr>
        <w:t>2. 将同一预测运输计划用于通路嵌入重建，使跨模态重建约束通过真实运输结构回传，而不是仅在未对齐的病理槽上解码。</w:t>
      </w:r>
    </w:p>
    <w:p>
      <w:pPr>
        <w:jc w:val="both"/>
      </w:pPr>
      <w:r>
        <w:rPr>
          <w:rFonts w:ascii="Times New Roman" w:hAnsi="Times New Roman" w:eastAsia="宋体"/>
          <w:b w:val="0"/>
          <w:color w:val="000000"/>
          <w:sz w:val="21"/>
        </w:rPr>
        <w:t>3. 在十队列记录与 BLCA/KIRC 的损失、机制对照中分析平均性能，并明确区分联合训练收益、运输机制对照和描述性解释。</w:t>
      </w:r>
    </w:p>
    <w:p>
      <w:pPr>
        <w:jc w:val="both"/>
      </w:pPr>
      <w:r>
        <w:rPr>
          <w:rFonts w:ascii="Times New Roman" w:hAnsi="Times New Roman" w:eastAsia="宋体"/>
          <w:b w:val="0"/>
          <w:color w:val="000000"/>
          <w:sz w:val="21"/>
        </w:rPr>
        <w:t>本文沿用槽注意力、最优运输、删失感知学习和重建任务的既有技术基础。贡献集中于这些组件之间的具体计算联系及相应实验，不将槽表示或自重建本身表述为首次提出。</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jc w:val="both"/>
      </w:pPr>
      <w:r>
        <w:rPr>
          <w:rFonts w:ascii="Times New Roman" w:hAnsi="Times New Roman" w:eastAsia="宋体"/>
          <w:b w:val="0"/>
          <w:color w:val="000000"/>
          <w:sz w:val="21"/>
        </w:rPr>
        <w:t>跨模态 OT 重建也已有相关研究。MCSP-OTMR 使用 OT 重建应对缺失组学，并引入 Fisher 引导的模态重加权 [13]；ME-Mamba 使用 OT 局部对齐与多专家融合 [14]。因此，本文将贡献定位于阶段条件运输、事件风险读取与复用预测运输计划的通路重建之间的具体联系，而不将 OT 对齐或 OT 重建本身作为独有机制。对 MCSP-OTMR 的定位目前依据出版社公开摘要，完整实现差异仍需全文核对。</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ind w:firstLine="0"/>
        <w:jc w:val="center"/>
      </w:pPr>
      <w:r>
        <w:drawing>
          <wp:inline xmlns:a="http://schemas.openxmlformats.org/drawingml/2006/main" xmlns:pic="http://schemas.openxmlformats.org/drawingml/2006/picture">
            <wp:extent cx="5940000" cy="3948750"/>
            <wp:docPr id="1" name="Picture 1" descr="DCT v3.13 框架图，M1-M4 标出相对 SlotSPE 的结构改动"/>
            <wp:cNvGraphicFramePr>
              <a:graphicFrameLocks noChangeAspect="1"/>
            </wp:cNvGraphicFramePr>
            <a:graphic>
              <a:graphicData uri="http://schemas.openxmlformats.org/drawingml/2006/picture">
                <pic:pic>
                  <pic:nvPicPr>
                    <pic:cNvPr id="0" name="fig1_v313_framework_en.png"/>
                    <pic:cNvPicPr/>
                  </pic:nvPicPr>
                  <pic:blipFill>
                    <a:blip r:embed="rId10"/>
                    <a:stretch>
                      <a:fillRect/>
                    </a:stretch>
                  </pic:blipFill>
                  <pic:spPr>
                    <a:xfrm>
                      <a:off x="0" y="0"/>
                      <a:ext cx="5940000" cy="394875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1 DCT v3.13 完整框架。沿用病理与组学双路编码和局部 Slot Attention；彩色模块标出相对 SlotSPE 的实际改动。（M1）局部槽经模态内原型坐标重分配，原型库在患者间复用。（M2）四个学习的潜在阶段、三个几何分支形成带证据边际的 Sinkhorn 运输计划。（M3）运输计划与槽对内容共同构建事件 tokens，经阶段嵌入、事件 Transformer、并行的阶段门控与事件 logits 头得到加权生存预测。（M4）训练时复用预测所用的同一组运输计划：仅在重建支路中对几何取均值，将病理槽按列归一化搬运至组学槽坐标，再以停止梯度的预测门控聚合；组学槽执行 self 重建，两支路共用通路查询解码器，目标为停止梯度的编码通路 tokens。预测主路径由左向右排列，重建采用两条水平支路；同名 S、T、g 圆形标记表示复用同一对语义槽、同一组预测运输计划与同一预测门控。实线表示预测路径，虚线表示训练支路；SG 表示停止梯度，运输计划保持可微。阶段不等同于已标注的疾病分期，图中张量与病理纹理均为结构示意。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 xml:space="preserve">实现对阶段权重重新归一化，分母的数值保护项取 </w:t>
      </w:r>
      <m:oMath>
        <m:r>
          <w:rPr>
            <w:rFonts w:ascii="Cambria Math" w:hAnsi="Cambria Math"/>
            <w:sz w:val="20"/>
          </w:rPr>
          <m:t xml:space="preserve">ε</m:t>
        </m:r>
        <m:r>
          <w:rPr>
            <w:rFonts w:ascii="Cambria Math" w:hAnsi="Cambria Math"/>
            <w:sz w:val="20"/>
          </w:rPr>
          <m:t xml:space="preserve">=</m:t>
        </m:r>
        <m:r>
          <w:rPr>
            <w:rFonts w:ascii="Cambria Math" w:hAnsi="Cambria Math"/>
            <w:sz w:val="20"/>
          </w:rPr>
          <m:t xml:space="preserve">1</m:t>
        </m:r>
        <m:sSup>
          <m:e>
            <m:r>
              <w:rPr>
                <w:rFonts w:ascii="Cambria Math" w:hAnsi="Cambria Math"/>
                <w:sz w:val="20"/>
              </w:rPr>
              <m:t xml:space="preserve">0</m:t>
            </m:r>
          </m:e>
          <m:sup>
            <m:r>
              <w:rPr>
                <w:rFonts w:ascii="Cambria Math" w:hAnsi="Cambria Math"/>
                <w:sz w:val="20"/>
              </w:rPr>
              <m:t xml:space="preserve">-</m:t>
            </m:r>
            <m:r>
              <w:rPr>
                <w:rFonts w:ascii="Cambria Math" w:hAnsi="Cambria Math"/>
                <w:sz w:val="20"/>
              </w:rPr>
              <m:t xml:space="preserve">8</m:t>
            </m:r>
          </m:sup>
        </m:sSup>
      </m:oMath>
      <w:r>
        <w:rPr>
          <w:rFonts w:ascii="Times New Roman" w:hAnsi="Times New Roman" w:eastAsia="宋体"/>
          <w:b w:val="0"/>
          <w:color w:val="000000"/>
          <w:sz w:val="21"/>
        </w:rPr>
        <w:t>。解码器以可学习的通路查询为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权重均为零，训练目标与旧版本方向正则分别定义。最终风险由事实运输和风险头生成，辅助重建输出不输入风险头。当前软件的评估 forward 仍可能执行重建分支，因此计算成本需按实际 forward 范围报告。</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数据与实验设置</w:t>
      </w:r>
    </w:p>
    <w:p>
      <w:pPr>
        <w:jc w:val="both"/>
      </w:pPr>
      <w:r>
        <w:rPr>
          <w:rFonts w:ascii="Times New Roman" w:hAnsi="Times New Roman" w:eastAsia="宋体"/>
          <w:b w:val="0"/>
          <w:color w:val="000000"/>
          <w:sz w:val="21"/>
        </w:rPr>
        <w:t>研究使用 TCGA 的配对全切片病理、通路组学和随访记录。十队列分别为 BLCA、BRCA、COADREAD、HNSC、KIRC、LUAD、LUSC、SKCM、STAD 和 UCEC。本文报告疾病特异性生存目标；每名患者的观察时间与事件状态共同用于生存学习。病理侧使用 UNI2-h 的 1536 维预提取特征，每例最多采样 2048 个图像块 [8]。BLCA/KIRC 用于七组训练目标和两组运输机制对照，其余队列用于完整模型的跨队列表现描述。</w:t>
      </w:r>
    </w:p>
    <w:p>
      <w:pPr>
        <w:jc w:val="both"/>
      </w:pPr>
      <w:r>
        <w:rPr>
          <w:rFonts w:ascii="Times New Roman" w:hAnsi="Times New Roman" w:eastAsia="宋体"/>
          <w:b w:val="0"/>
          <w:color w:val="000000"/>
          <w:sz w:val="21"/>
        </w:rPr>
        <w:t>实验沿用患者级五折训练与验证流程，seed=3，每折最多训练 30 epochs。每折选择验证 C-index 最高的 checkpoint，再报告该折最佳验证分数。因此，验证集同时承担 epoch 选择与评分；这些结果是模型开发条件下的最佳验证表现，不称为独立外层测试。时间分箱和删失参考在训练侧拟合。主要指标是日志及最佳患者预测对应的 C-index，训练 IPCW 排序不等于使用 IPCW C-index 评价。</w:t>
      </w:r>
    </w:p>
    <w:p>
      <w:pPr>
        <w:jc w:val="both"/>
      </w:pPr>
      <w:r>
        <w:rPr>
          <w:rFonts w:ascii="Times New Roman" w:hAnsi="Times New Roman" w:eastAsia="宋体"/>
          <w:b w:val="0"/>
          <w:color w:val="000000"/>
          <w:sz w:val="21"/>
        </w:rPr>
        <w:t>对每个癌种，本文报告五折均值与样本标准差。标准差描述折间波动，不是均值置信区间或多 seed 方差。十队列汇总对癌种均值等权平均；每队列均为五折时，该值也等于 50 个折值的平均。损失消融按四位折值、机制对照按原始精度计算均值差，报告 C-index 百分点；分别分析两个癌种。</w:t>
      </w:r>
    </w:p>
    <w:p>
      <w:pPr>
        <w:jc w:val="both"/>
      </w:pPr>
      <w:r>
        <w:rPr>
          <w:rFonts w:ascii="Times New Roman" w:hAnsi="Times New Roman" w:eastAsia="宋体"/>
          <w:b w:val="0"/>
          <w:color w:val="000000"/>
          <w:sz w:val="21"/>
        </w:rPr>
        <w:t>现有主要记录包含十队列 50 个 Full 折值、BLCA/KIRC 的 70 个损失消融折值，以及重跑并审计的 20 个机制控制臂折值。Full 在前两类记录中复用，不能将这些数量直接相加为独立训练次数。外部方法的公开报告值在表 2 中完整列示，编码器与患者划分差异在表注中说明。同条件 native/matched 实验需按其真实配方另行核对，不逐折择优。全部结果的来源与尚需补齐的材料见附录 B。</w:t>
      </w:r>
    </w:p>
    <w:p>
      <w:pPr>
        <w:jc w:val="both"/>
      </w:pPr>
      <w:r>
        <w:rPr>
          <w:rFonts w:ascii="Times New Roman" w:hAnsi="Times New Roman" w:eastAsia="宋体"/>
          <w:b w:val="0"/>
          <w:color w:val="000000"/>
          <w:sz w:val="21"/>
        </w:rPr>
        <w:t>共同配置使用 AdamW，学习率和权重衰减均为 0.0005，batch size 为 8，余弦调度，梯度裁剪为 1.0。隐维为 256，两种模态各 8 个槽，槽聚合迭代 3 次，运输采用 4 个潜在阶段和 3 个几何分支。自重建与跨模态重建使用共享的通路查询解码器。不同实验批次的共同条件及有效系数以历史配置和 overrides 为准，不用当前默认值替代。</w:t>
      </w:r>
    </w:p>
    <w:p>
      <w:pPr>
        <w:pStyle w:val="Heading2"/>
        <w:ind w:firstLine="0"/>
      </w:pPr>
      <w:r>
        <w:rPr>
          <w:rFonts w:ascii="Times New Roman" w:hAnsi="Times New Roman" w:eastAsia="黑体"/>
          <w:b/>
          <w:color w:val="000000"/>
          <w:sz w:val="23"/>
        </w:rPr>
        <w:t>4.2 十队列完整模型结果</w:t>
      </w:r>
    </w:p>
    <w:tbl>
      <w:tblPr>
        <w:tblW w:type="auto" w:w="0"/>
        <w:jc w:val="center"/>
        <w:tblLayout w:type="fixed"/>
        <w:tblLook w:firstColumn="1" w:firstRow="1" w:lastColumn="0" w:lastRow="0" w:noHBand="0" w:noVBand="1" w:val="04A0"/>
      </w:tblPr>
      <w:tblGrid>
        <w:gridCol w:w="1587"/>
        <w:gridCol w:w="1134"/>
        <w:gridCol w:w="1134"/>
        <w:gridCol w:w="1134"/>
        <w:gridCol w:w="1134"/>
        <w:gridCol w:w="1134"/>
        <w:gridCol w:w="2211"/>
      </w:tblGrid>
      <w:tr>
        <w:trPr>
          <w:cantSplit/>
          <w:tblHeader/>
        </w:trPr>
        <w:tc>
          <w:tcPr>
            <w:tcW w:type="dxa" w:w="158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队列</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0</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1</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2</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3</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4</w:t>
            </w:r>
          </w:p>
        </w:tc>
        <w:tc>
          <w:tcPr>
            <w:tcW w:type="dxa" w:w="221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均值 ± 标准差</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BLCA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0.6576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0.7453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0.7238 ± 0.0467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BRCA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0.7925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0.5748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0.6504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0.6809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0.6787 ± 0.0788</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COADREAD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0.7570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0.6695</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0.7364 ± 0.0400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HNSC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0.6118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0.5990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0.6450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0.7389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0.6582 ± 0.0587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KIRC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0.8485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0.8202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0.8094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0.8224 ± 0.0163</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0.7015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0.7138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0.6352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0.6677</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0.6858 ± 0.0337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0.6377</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0.5983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0.5463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0.6300 ± 0.0596</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SKCM</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0.6199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0.6434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0.7488</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0.6654 ± 0.0500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STAD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0.6835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0.6471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0.5645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0.6161</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0.6361 ± 0.0474</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UCEC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0.8060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0.8532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0.7654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0.7511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0.7884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0.7928 ± 0.0398</w:t>
            </w:r>
          </w:p>
        </w:tc>
      </w:tr>
    </w:tbl>
    <w:p>
      <w:pPr>
        <w:keepLines/>
        <w:spacing w:line="264" w:lineRule="auto"/>
        <w:ind w:firstLine="0"/>
      </w:pPr>
      <w:r>
        <w:rPr>
          <w:rFonts w:ascii="Times New Roman" w:hAnsi="Times New Roman" w:eastAsia="宋体"/>
          <w:b w:val="0"/>
          <w:color w:val="000000"/>
          <w:sz w:val="18"/>
        </w:rPr>
        <w:t>表 1 十个 TCGA 队列的 Full 五折最佳验证 C-index。所有均值和样本标准差均按本表折值重算，与旧汇总的部分统计量存在末位或口径差异；例如 KIRC 标准差由 0.0146 统一为 0.0163。该表描述完整模型跨队列的表现，没有外部方法同条件分数时不据此作方法排名。</w:t>
      </w:r>
    </w:p>
    <w:p>
      <w:pPr>
        <w:jc w:val="both"/>
      </w:pPr>
      <w:r>
        <w:rPr>
          <w:rFonts w:ascii="Times New Roman" w:hAnsi="Times New Roman" w:eastAsia="宋体"/>
          <w:b w:val="0"/>
          <w:color w:val="000000"/>
          <w:sz w:val="21"/>
        </w:rPr>
        <w:t>十队列等权平均 C-index 为 0.7030。KIRC 达到 0.8224，UCEC 为 0.7928，COADREAD 为 0.7364，BLCA 为 0.7238；LUSC 为 0.6300，是当前十队列中最低的均值。不同队列的事件率、随访、样本量和输入信息不同，癌种间分数差不直接归因于某个模块，也不等同于跨癌种迁移能力。</w:t>
      </w:r>
    </w:p>
    <w:p>
      <w:pPr>
        <w:pStyle w:val="Heading2"/>
        <w:ind w:firstLine="0"/>
      </w:pPr>
      <w:r>
        <w:rPr>
          <w:rFonts w:ascii="Times New Roman" w:hAnsi="Times New Roman" w:eastAsia="黑体"/>
          <w:b/>
          <w:color w:val="000000"/>
          <w:sz w:val="23"/>
        </w:rPr>
        <w:t>4.3 外部方法的公开结果参照</w:t>
      </w:r>
    </w:p>
    <w:p>
      <w:pPr>
        <w:jc w:val="both"/>
      </w:pPr>
      <w:r>
        <w:rPr>
          <w:rFonts w:ascii="Times New Roman" w:hAnsi="Times New Roman" w:eastAsia="宋体"/>
          <w:b w:val="0"/>
          <w:color w:val="000000"/>
          <w:sz w:val="21"/>
        </w:rPr>
        <w:t>表 2 扩展为 21 个参照方法与 DCT v3.13。MLP、SNN、SNNTrans、ABMIL、TransMIL、CLAM-SB、CLAM-MB、Porpoise、MCAT、MOTCat、CMTA、SurvPath、PIBD、MMP 和 LD-CVAE 的十队列数值来自 SlotSPE 作者表 1 的统一重评估，离散度与附录表 4 核对 [3]；SlotSPE 自身的组学、病理、多模态三行全部排除。额外保留 TTA、OTSurv，以及 STEPH 官方补充表 S2 中的 ILRA、R2T-MIL、Patch-GCN 和 STEPH [9–11]。相同方法不从不同来源逐格选择更高值；本表 MOTCat、ABMIL 与 TransMIL 固定采用十队列重评估来源。</w:t>
      </w:r>
    </w:p>
    <w:p>
      <w:pPr>
        <w:keepNext/>
        <w:ind w:firstLine="0"/>
        <w:jc w:val="center"/>
      </w:pPr>
      <w:r>
        <w:drawing>
          <wp:inline xmlns:a="http://schemas.openxmlformats.org/drawingml/2006/main" xmlns:pic="http://schemas.openxmlformats.org/drawingml/2006/picture">
            <wp:extent cx="5940000" cy="3929694"/>
            <wp:docPr id="2" name="Picture 2" descr="带方法年份的扩展十癌种公开结果参照"/>
            <wp:cNvGraphicFramePr>
              <a:graphicFrameLocks noChangeAspect="1"/>
            </wp:cNvGraphicFramePr>
            <a:graphic>
              <a:graphicData uri="http://schemas.openxmlformats.org/drawingml/2006/picture">
                <pic:pic>
                  <pic:nvPicPr>
                    <pic:cNvPr id="0" name="table_v313_ot_uni2h_reference.png"/>
                    <pic:cNvPicPr/>
                  </pic:nvPicPr>
                  <pic:blipFill>
                    <a:blip r:embed="rId11"/>
                    <a:stretch>
                      <a:fillRect/>
                    </a:stretch>
                  </pic:blipFill>
                  <pic:spPr>
                    <a:xfrm>
                      <a:off x="0" y="0"/>
                      <a:ext cx="5940000" cy="392969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表 2 十队列公开报告值参照。每个方法名后标注年份。红色加粗为该列可用报告值中的最高值，下划线为第二个不同的显示值，DCT 行为淡黄色。U1 为 UNI，U2 为 UNI2-h，短横为无需病理编码器；g. 与 h. 分别表示组学和病理。MLP 的 1998 年为原文引用的教材年份，SNNTrans 的 2021 年为组件引用年份，二者以单星标出；DCT 的 2026 年为当前研究年份，以双星标出，不表示已发表。TTA 使用首次预印本年份 2025，分数来自 2026 年 v2。</w:t>
      </w:r>
    </w:p>
    <w:p>
      <w:pPr>
        <w:jc w:val="both"/>
      </w:pPr>
      <w:r>
        <w:rPr>
          <w:rFonts w:ascii="Times New Roman" w:hAnsi="Times New Roman" w:eastAsia="宋体"/>
          <w:b w:val="0"/>
          <w:color w:val="000000"/>
          <w:sz w:val="21"/>
        </w:rPr>
        <w:t>当前直接汇总了 183 个可按癌种名称对齐的公开均值，包括原表 15 个非 SlotSPE 基线的全部 150 个十队列均值。十个癌种现在均有外部参照，LUSC 列也纳入排名。原论文未单独报告的额外方法队列保留 NR。STEPH 的 KIPAN、LUNG、STES 不分别替代 KIRC、LUAD/LUSC、STAD，TTA 和 OTSurv 的 CRC 在患者定义核对前不映射为 COADREAD。Overall 仅对报告同样十个癌种的 15 个基线与 DCT 排名；五、六或十三队列来源的总体值不混入这一列。</w:t>
      </w:r>
    </w:p>
    <w:p>
      <w:pPr>
        <w:jc w:val="both"/>
      </w:pPr>
      <w:r>
        <w:rPr>
          <w:rFonts w:ascii="Times New Roman" w:hAnsi="Times New Roman" w:eastAsia="宋体"/>
          <w:b w:val="0"/>
          <w:color w:val="000000"/>
          <w:sz w:val="21"/>
        </w:rPr>
        <w:t>本文 DCT 行沿用表 1 的真实 50 个折值。不同论文的模态、患者纳入、划分与 checkpoint 选择仍不同；UNI 病理特征与本研究 UNI2-h 特征的差异也保留在表内。DCT 当前为 best-validation / legacy_val 开发汇总，列内名次用于描述公开值的相对位置，不能解释为相同独立测试条件下的 SOTA。</w:t>
      </w:r>
    </w:p>
    <w:p>
      <w:pPr>
        <w:jc w:val="both"/>
      </w:pPr>
      <w:r>
        <w:rPr>
          <w:rFonts w:ascii="Times New Roman" w:hAnsi="Times New Roman" w:eastAsia="宋体"/>
          <w:b w:val="0"/>
          <w:color w:val="000000"/>
          <w:sz w:val="21"/>
        </w:rPr>
        <w:t>ProtoPathway 同样使用 UNI2-h，但以 OS 为终点 [12]，作为结构相近的方法讨论并单独保存公开值，不进入 DSS 排名。后续同条件参照优先覆盖 MOTCat、TTA、OTSurv 和 STEPH；模块收益仍结合本研究消融和机制对照判断。</w:t>
      </w:r>
    </w:p>
    <w:p>
      <w:pPr>
        <w:pStyle w:val="Heading2"/>
        <w:ind w:firstLine="0"/>
      </w:pPr>
      <w:r>
        <w:rPr>
          <w:rFonts w:ascii="Times New Roman" w:hAnsi="Times New Roman" w:eastAsia="黑体"/>
          <w:b/>
          <w:color w:val="000000"/>
          <w:sz w:val="23"/>
        </w:rPr>
        <w:t>4.4 消融实验</w:t>
      </w:r>
    </w:p>
    <w:p>
      <w:pPr>
        <w:jc w:val="both"/>
      </w:pPr>
      <w:r>
        <w:rPr>
          <w:rFonts w:ascii="Times New Roman" w:hAnsi="Times New Roman" w:eastAsia="宋体"/>
          <w:b w:val="0"/>
          <w:color w:val="000000"/>
          <w:sz w:val="21"/>
        </w:rPr>
        <w:t>七组训练目标从患者级 NLL 开始增加辅助监督。Exp4 和 Exp5 均以 Exp3 为起点，分别加入 self 或 cross 重建，Exp6 同时启用两支路；Exp4→Exp5 不是连续累加路径。</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3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4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ind w:firstLine="0"/>
        <w:jc w:val="center"/>
      </w:pPr>
      <w:r>
        <w:drawing>
          <wp:inline xmlns:a="http://schemas.openxmlformats.org/drawingml/2006/main" xmlns:pic="http://schemas.openxmlformats.org/drawingml/2006/picture">
            <wp:extent cx="5940000" cy="3355000"/>
            <wp:docPr id="3" name="Picture 3" descr="七组损失配置的逐折分布、五折均值与样本标准差"/>
            <wp:cNvGraphicFramePr>
              <a:graphicFrameLocks noChangeAspect="1"/>
            </wp:cNvGraphicFramePr>
            <a:graphic>
              <a:graphicData uri="http://schemas.openxmlformats.org/drawingml/2006/picture">
                <pic:pic>
                  <pic:nvPicPr>
                    <pic:cNvPr id="0" name="fig2_loss_ablation.png"/>
                    <pic:cNvPicPr/>
                  </pic:nvPicPr>
                  <pic:blipFill>
                    <a:blip r:embed="rId12"/>
                    <a:stretch>
                      <a:fillRect/>
                    </a:stretch>
                  </pic:blipFill>
                  <pic:spPr>
                    <a:xfrm>
                      <a:off x="0" y="0"/>
                      <a:ext cx="5940000" cy="3355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2 BLCA 与 KIRC 的损失消融。展示 Exp0–Exp6 的五折均值及逐折分布。Exp4 和 Exp5 为从 Exp3 出发的两条单支分支，横向排列不表示连续添加。误差描述折间波动，不作为显著性判断。</w:t>
      </w:r>
    </w:p>
    <w:p>
      <w:pPr>
        <w:jc w:val="both"/>
      </w:pPr>
      <w:r>
        <w:rPr>
          <w:rFonts w:ascii="Times New Roman" w:hAnsi="Times New Roman" w:eastAsia="宋体"/>
          <w:b w:val="0"/>
          <w:color w:val="000000"/>
          <w:sz w:val="21"/>
        </w:rPr>
        <w:t>Exp4、Exp5、Exp6 在 BLCA 的均值分别为 0.7101、0.7188、0.7238，在 KIRC 为 0.8046、0.8027、0.8224。两个癌种的完整配置均高于单支配置，支持当前双支联合配方。然而历史单支系数为 0.025，Full 每支为 0.05，总重建强度也不同；差异同时反映支路组合和权重变化，不构成严格的协同效应证明。</w:t>
      </w:r>
    </w:p>
    <w:p>
      <w:pPr>
        <w:jc w:val="both"/>
      </w:pPr>
      <w:r>
        <w:rPr>
          <w:rFonts w:ascii="Times New Roman" w:hAnsi="Times New Roman" w:eastAsia="宋体"/>
          <w:b w:val="0"/>
          <w:color w:val="000000"/>
          <w:sz w:val="21"/>
        </w:rPr>
        <w:t>BLCA 中 self-only 低于 Exp3，说明在当前权重下，单独加入自重建并未带来平均收益。cross-only 也未超过 Full。联合使用两支路的观察结果不能反推任何一条支路在所有条件下都有效。权重匹配的单支实验尚不作为已完成证据。</w:t>
      </w:r>
    </w:p>
    <w:p>
      <w:pPr>
        <w:jc w:val="both"/>
      </w:pPr>
      <w:r>
        <w:rPr>
          <w:rFonts w:ascii="Times New Roman" w:hAnsi="Times New Roman" w:eastAsia="宋体"/>
          <w:b w:val="0"/>
          <w:color w:val="000000"/>
          <w:sz w:val="21"/>
        </w:rPr>
        <w:t>v3.14/v3.15 是不同版本配方，其中 v3.15 为独立架构，不用版本间差值代替同架构损失贡献。本文使用 Exp0 与 Full 比较联合目标，使用 Direct/Independent 比较具体运输计算位置。</w:t>
      </w:r>
    </w:p>
    <w:p>
      <w:pPr>
        <w:pStyle w:val="Heading2"/>
        <w:ind w:firstLine="0"/>
      </w:pPr>
      <w:r>
        <w:rPr>
          <w:rFonts w:ascii="Times New Roman" w:hAnsi="Times New Roman" w:eastAsia="黑体"/>
          <w:b/>
          <w:color w:val="000000"/>
          <w:sz w:val="23"/>
        </w:rPr>
        <w:t>4.5 运输对齐与学习耦合对照</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运输后的病理槽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原始病理槽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0.7029 ± 0.0474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0.8030 ± 0.0302</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独立耦合聚合的病理槽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0.7093 ± 0.0408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0.8054 ± 0.0171</w:t>
            </w:r>
          </w:p>
        </w:tc>
      </w:tr>
    </w:tbl>
    <w:p>
      <w:pPr>
        <w:keepLines/>
        <w:spacing w:line="264" w:lineRule="auto"/>
        <w:ind w:firstLine="0"/>
      </w:pPr>
      <w:r>
        <w:rPr>
          <w:rFonts w:ascii="Times New Roman" w:hAnsi="Times New Roman" w:eastAsia="宋体"/>
          <w:b w:val="0"/>
          <w:color w:val="000000"/>
          <w:sz w:val="18"/>
        </w:rPr>
        <w:t>表 5 完整模型与两种运输机制对照。控制臂使用重跑后的 20 项最佳患者预测审计结果，各癌种各臂均为五折。Full 对应表 4 的 Exp6，控制臂保持 self/cross 分支有效系数各为 0.05。</w:t>
      </w:r>
    </w:p>
    <w:p>
      <w:pPr>
        <w:jc w:val="both"/>
      </w:pPr>
      <w:r>
        <w:rPr>
          <w:rFonts w:ascii="Times New Roman" w:hAnsi="Times New Roman" w:eastAsia="宋体"/>
          <w:b w:val="0"/>
          <w:color w:val="000000"/>
          <w:sz w:val="21"/>
        </w:rPr>
        <w:t>Direct 的主预测仍使用学习 OT，只把 cross 解码器的输入改为未运输的病理槽。因此 Full 与 Direct 比较检验“辅助重建是否从预测所用的运输对齐中受益”，不是有无 cross 重建。BLCA 的 Full 为 0.7238，Direct 为 0.7029，提高 0.0209，即 2.09 个百分点；KIRC 从 0.8030 到 0.8224，提高 1.93 个百分点。当前两队列的平均结果均支持保留运输对齐的重建输入。</w:t>
      </w:r>
    </w:p>
    <w:p>
      <w:pPr>
        <w:jc w:val="both"/>
      </w:pPr>
      <w:r>
        <w:rPr>
          <w:rFonts w:ascii="Times New Roman" w:hAnsi="Times New Roman" w:eastAsia="宋体"/>
          <w:b w:val="0"/>
          <w:color w:val="000000"/>
          <w:sz w:val="21"/>
        </w:rPr>
        <w:t>Independent 保留两侧槽与学习边际，将非独立的联合运输计划替换为边际乘积，并同时用于风险预测和 cross 重建。Full 相对 Independent 在 BLCA 提高 1.46 个百分点，在 KIRC 提高 1.70 个百分点。这一对照支持学习联合匹配的任务价值；由于它改变预测与重建两个位置，不能把差值单独归因于某一个位置。</w:t>
      </w:r>
    </w:p>
    <w:p>
      <w:pPr>
        <w:jc w:val="both"/>
      </w:pPr>
      <w:r>
        <w:rPr>
          <w:rFonts w:ascii="Times New Roman" w:hAnsi="Times New Roman" w:eastAsia="宋体"/>
          <w:b w:val="0"/>
          <w:color w:val="000000"/>
          <w:sz w:val="21"/>
        </w:rPr>
        <w:t>Direct 与 Independent 在 BLCA 的均值分别为 0.7029 和 0.7093，在 KIRC 为 0.8030 和 0.8054。它们彼此接近只说明两种简化方案在当前记录中均值差较小，不证明完整运输无用，也不构成等价性检验。判断完整机制收益应分别比较 Full 与每个对照。</w:t>
      </w:r>
    </w:p>
    <w:p>
      <w:pPr>
        <w:keepNext/>
        <w:ind w:firstLine="0"/>
        <w:jc w:val="center"/>
      </w:pPr>
      <w:r>
        <w:drawing>
          <wp:inline xmlns:a="http://schemas.openxmlformats.org/drawingml/2006/main" xmlns:pic="http://schemas.openxmlformats.org/drawingml/2006/picture">
            <wp:extent cx="5940000" cy="5170000"/>
            <wp:docPr id="4" name="Picture 4" descr="Full 与重训控制臂的逐折 C-index 及差值"/>
            <wp:cNvGraphicFramePr>
              <a:graphicFrameLocks noChangeAspect="1"/>
            </wp:cNvGraphicFramePr>
            <a:graphic>
              <a:graphicData uri="http://schemas.openxmlformats.org/drawingml/2006/picture">
                <pic:pic>
                  <pic:nvPicPr>
                    <pic:cNvPr id="0" name="fig3_trained_controls.png"/>
                    <pic:cNvPicPr/>
                  </pic:nvPicPr>
                  <pic:blipFill>
                    <a:blip r:embed="rId13"/>
                    <a:stretch>
                      <a:fillRect/>
                    </a:stretch>
                  </pic:blipFill>
                  <pic:spPr>
                    <a:xfrm>
                      <a:off x="0" y="0"/>
                      <a:ext cx="5940000" cy="5170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3 Full 相对训练对照的逐折变化。BLCA 与 KIRC 分开显示 Full、Direct、Independent，按相同 fold 连线；同时报告五折均值差（Full−control）。Full 使用图 4 源 JSON 中的事实逐折成绩，与损失消融的四位记录一致；控制臂来自重跑审计记录。均值差按未四舍五入的逐折成绩计算，最终公平比较仍需完成 Full 与控制臂的患者、结局和配置配对核对。图不预设每一折都提高，不添加未经有效检验支持的显著性星号。</w:t>
      </w:r>
    </w:p>
    <w:p>
      <w:pPr>
        <w:jc w:val="both"/>
      </w:pPr>
      <w:r>
        <w:rPr>
          <w:rFonts w:ascii="Times New Roman" w:hAnsi="Times New Roman" w:eastAsia="宋体"/>
          <w:b w:val="0"/>
          <w:color w:val="000000"/>
          <w:sz w:val="21"/>
        </w:rPr>
        <w:t>按目前展示折值，BLCA 的 Full 相对 Direct 和 Independent 均在 3/5 折更高；KIRC 分别在 4/5 和 5/5 折更高。这说明平均提升并不等于所有划分都受益，图 3 需要同时保留提升与下降的折。所有比较仍限于当前单 seed 最佳验证协议。</w:t>
      </w:r>
    </w:p>
    <w:p>
      <w:pPr>
        <w:pStyle w:val="Heading2"/>
        <w:ind w:firstLine="0"/>
      </w:pPr>
      <w:r>
        <w:rPr>
          <w:rFonts w:ascii="Times New Roman" w:hAnsi="Times New Roman" w:eastAsia="黑体"/>
          <w:b/>
          <w:color w:val="000000"/>
          <w:sz w:val="23"/>
        </w:rPr>
        <w:t>4.6 固定模型中的运输计划干预</w:t>
      </w:r>
    </w:p>
    <w:p>
      <w:pPr>
        <w:jc w:val="both"/>
      </w:pPr>
      <w:r>
        <w:rPr>
          <w:rFonts w:ascii="Times New Roman" w:hAnsi="Times New Roman" w:eastAsia="宋体"/>
          <w:b w:val="0"/>
          <w:color w:val="000000"/>
          <w:sz w:val="21"/>
        </w:rPr>
        <w:t>运输对照重训改变了训练轨迹。为补充计算机制分析，固定 Full checkpoint，在每个阶段和几何分支中将事实计划逐步替换为具有相同实际边缘的独立计划：</w:t>
      </w:r>
    </w:p>
    <w:p>
      <w:pPr>
        <w:keepLines/>
        <w:spacing w:before="60" w:after="120"/>
        <w:ind w:firstLine="0"/>
        <w:jc w:val="center"/>
      </w:pPr>
      <m:oMath>
        <m:eqArr>
          <m:e>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f>
              <m:num>
                <m:r>
                  <w:rPr>
                    <w:rFonts w:ascii="Cambria Math" w:hAnsi="Cambria Math"/>
                    <w:sz w:val="20"/>
                  </w:rPr>
                  <m:t xml:space="preserve">a</m:t>
                </m:r>
                <m:sSup>
                  <m:e>
                    <m:r>
                      <w:rPr>
                        <w:rFonts w:ascii="Cambria Math" w:hAnsi="Cambria Math"/>
                        <w:sz w:val="20"/>
                      </w:rPr>
                      <m:t xml:space="preserve">b</m:t>
                    </m:r>
                  </m:e>
                  <m:sup>
                    <m:r>
                      <w:rPr>
                        <w:rFonts w:ascii="Cambria Math" w:hAnsi="Cambria Math"/>
                        <w:sz w:val="20"/>
                      </w:rPr>
                      <m:t xml:space="preserve">⊤</m:t>
                    </m:r>
                  </m:sup>
                </m:sSup>
              </m:num>
              <m:den>
                <m:sSub>
                  <m:e>
                    <m:r>
                      <w:rPr>
                        <w:rFonts w:ascii="Cambria Math" w:hAnsi="Cambria Math"/>
                        <w:sz w:val="20"/>
                      </w:rPr>
                      <m:t xml:space="preserve">∑</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den>
            </m:f>
            <m:r>
              <w:rPr>
                <w:rFonts w:ascii="Cambria Math" w:hAnsi="Cambria Math"/>
                <w:sz w:val="20"/>
              </w:rPr>
              <m:t xml:space="preserve">,</m:t>
            </m:r>
          </m:e>
          <m:e>
            <m:sSub>
              <m:e>
                <m:r>
                  <w:rPr>
                    <w:rFonts w:ascii="Cambria Math" w:hAnsi="Cambria Math"/>
                    <w:sz w:val="20"/>
                  </w:rPr>
                  <m:t xml:space="preserve">T</m:t>
                </m:r>
              </m:e>
              <m:sub>
                <m:r>
                  <w:rPr>
                    <w:rFonts w:ascii="Cambria Math" w:hAnsi="Cambria Math"/>
                    <w:sz w:val="20"/>
                  </w:rPr>
                  <m:t xml:space="preserve">α</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e>
        </m:eqArr>
      </m:oMath>
      <w:r>
        <w:rPr>
          <w:rFonts w:ascii="Times New Roman" w:hAnsi="Times New Roman" w:eastAsia="宋体"/>
          <w:b w:val="0"/>
          <w:color w:val="000000"/>
          <w:sz w:val="18"/>
        </w:rPr>
        <w:t xml:space="preserve">  (13)</w:t>
      </w:r>
    </w:p>
    <w:p>
      <w:pPr>
        <w:jc w:val="both"/>
      </w:pPr>
      <w:r>
        <w:rPr>
          <w:rFonts w:ascii="Times New Roman" w:hAnsi="Times New Roman" w:eastAsia="宋体"/>
          <w:b w:val="0"/>
          <w:color w:val="000000"/>
          <w:sz w:val="21"/>
        </w:rPr>
        <w:t>采用 alpha=0、0.25、0.5、0.75、1，同时替换全部四阶段、三几何分支的计划，再计算后续门控和风险。式（13）在插值前不按列归一化；解码所需的归一化仍在模型下游执行。实际计划边缘用于构造独立计划，避免将近似求解残差误当作结构替换效应。alpha=1 是同一 Full 内的计划干预，不等于重新训练 Independent。</w:t>
      </w:r>
    </w:p>
    <w:p>
      <w:pPr>
        <w:keepNext/>
        <w:ind w:firstLine="0"/>
        <w:jc w:val="center"/>
      </w:pPr>
      <w:r>
        <w:drawing>
          <wp:inline xmlns:a="http://schemas.openxmlformats.org/drawingml/2006/main" xmlns:pic="http://schemas.openxmlformats.org/drawingml/2006/picture">
            <wp:extent cx="5940000" cy="2443434"/>
            <wp:docPr id="5" name="Picture 5" descr="固定 Full 模型的运输计划替换，BLCA 和 KIRC 各五折"/>
            <wp:cNvGraphicFramePr>
              <a:graphicFrameLocks noChangeAspect="1"/>
            </wp:cNvGraphicFramePr>
            <a:graphic>
              <a:graphicData uri="http://schemas.openxmlformats.org/drawingml/2006/picture">
                <pic:pic>
                  <pic:nvPicPr>
                    <pic:cNvPr id="0" name="fig4_transport_sweep_manuscript.png"/>
                    <pic:cNvPicPr/>
                  </pic:nvPicPr>
                  <pic:blipFill>
                    <a:blip r:embed="rId14"/>
                    <a:stretch>
                      <a:fillRect/>
                    </a:stretch>
                  </pic:blipFill>
                  <pic:spPr>
                    <a:xfrm>
                      <a:off x="0" y="0"/>
                      <a:ext cx="5940000" cy="244343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4 固定 Full checkpoint 的运输计划替换。左右两面板分别为 BLCA 和 KIRC；浅色虚线为各折结果，实线及误差线为五折均值与样本标准差。alpha=0 为事实计划，alpha=1 为同实际边缘的独立计划，后续门控重新计算。图中不包含患者风险差分或重建误差；该实验不是因果治疗干预。</w:t>
      </w:r>
    </w:p>
    <w:p>
      <w:pPr>
        <w:jc w:val="both"/>
      </w:pPr>
      <w:r>
        <w:rPr>
          <w:rFonts w:ascii="Times New Roman" w:hAnsi="Times New Roman" w:eastAsia="宋体"/>
          <w:b w:val="0"/>
          <w:color w:val="000000"/>
          <w:sz w:val="21"/>
        </w:rPr>
        <w:t>本次 sweep 使用 UNI2-h 五折、seed=3、最多 30 epochs 的 Full 最佳验证 checkpoint。BLCA 每折 76 名验证患者，KIRC 每折 97–98 名。BLCA 的五折 C-index 在所有替换强度下完全相同，均值为 0.7238；KIRC 仅 fold2 在 alpha≥0.25 时由 0.820163 增至 0.820845，其余四折不变，癌种均值由 0.822355 增至 0.822492。十折共 40 个非零强度干预单元中，36 个与对应事实 C-index 相同，4 个变化均来自 KIRC fold2。该结果表明，固定 Full 模型的排序评价对这类同边缘计划替换基本不敏感。</w:t>
      </w:r>
    </w:p>
    <w:p>
      <w:pPr>
        <w:jc w:val="both"/>
      </w:pPr>
      <w:r>
        <w:rPr>
          <w:rFonts w:ascii="Times New Roman" w:hAnsi="Times New Roman" w:eastAsia="宋体"/>
          <w:b w:val="0"/>
          <w:color w:val="000000"/>
          <w:sz w:val="21"/>
        </w:rPr>
        <w:t>各折 JSON 保存了风险均值、标准差及极值，而非逐患者风险差分。alpha=1 相对 alpha=0 的风险均值变化绝对值至多约 5.05×10⁻⁴；此汇总量不能替代患者级变化分布。当前调用的 replay 检查 alpha=0 与同次事实前向一致，未读取训练时保存的逐患者最佳预测；其 C-index 与已有 Full 折值在四位小数上吻合，不据此声称已完成最佳预测逐患者对齐。重建误差和边缘残差虽由 replay 计算，但未存入本次十折 JSON，因此本节不报告它们的实测结果。</w:t>
      </w:r>
    </w:p>
    <w:p>
      <w:pPr>
        <w:pStyle w:val="Heading2"/>
        <w:ind w:firstLine="0"/>
      </w:pPr>
      <w:r>
        <w:rPr>
          <w:rFonts w:ascii="Times New Roman" w:hAnsi="Times New Roman" w:eastAsia="黑体"/>
          <w:b/>
          <w:color w:val="000000"/>
          <w:sz w:val="23"/>
        </w:rPr>
        <w:t>4.7 十队列风险分层</w:t>
      </w:r>
    </w:p>
    <w:p>
      <w:pPr>
        <w:jc w:val="both"/>
      </w:pPr>
      <w:r>
        <w:rPr>
          <w:rFonts w:ascii="Times New Roman" w:hAnsi="Times New Roman" w:eastAsia="宋体"/>
          <w:b w:val="0"/>
          <w:color w:val="000000"/>
          <w:sz w:val="21"/>
        </w:rPr>
        <w:t>图 5 的目标是覆盖全部十个癌症队列：BLCA、BRCA、COADREAD、HNSC、KIRC、LUAD、LUSC、SKCM、STAD 和 UCEC。每个癌种绘制一张总体 KM 图，展示完整模型的高风险和低风险两组。先在每折以对应模型的训练患者风险中位数固定阈值，将该折验证患者分组；高 risk 对应预测生存较短，等于阈值时归入高风险。再汇总五折患者的组别和真实随访结局，每名患者只出现一次，不跨模型混合原始风险值求统一阈值。全部五折须构成同一患者队列的完整划分，缺折、重复患者或缺训练阈值时停止出图。</w:t>
      </w:r>
    </w:p>
    <w:p>
      <w:pPr>
        <w:jc w:val="both"/>
      </w:pPr>
      <w:r>
        <w:rPr>
          <w:rFonts w:ascii="Times New Roman" w:hAnsi="Times New Roman" w:eastAsia="宋体"/>
          <w:b w:val="0"/>
          <w:color w:val="000000"/>
          <w:sz w:val="21"/>
        </w:rPr>
        <w:t>图中显示组人数、删失标记、名义 95% 置信区间和在险人数表。这是验证集选择最佳 checkpoint 后的五折总体分层，仍属于开发阶段结果，不称为单模型外部验证。若显示 log-rank p 值，仅作为探索性统计，其常规计算未校正交叉验证模型之间的依赖；不据此声称独立测试显著性。时间范围由实际随访支持决定。</w:t>
      </w:r>
    </w:p>
    <w:p>
      <w:pPr>
        <w:keepNext/>
        <w:ind w:firstLine="0"/>
        <w:jc w:val="center"/>
      </w:pPr>
      <w:r>
        <w:drawing>
          <wp:inline xmlns:a="http://schemas.openxmlformats.org/drawingml/2006/main" xmlns:pic="http://schemas.openxmlformats.org/drawingml/2006/picture">
            <wp:extent cx="5940000" cy="5841000"/>
            <wp:docPr id="6" name="Picture 6" descr="BLCA Full 五折总体高低风险生存曲线"/>
            <wp:cNvGraphicFramePr>
              <a:graphicFrameLocks noChangeAspect="1"/>
            </wp:cNvGraphicFramePr>
            <a:graphic>
              <a:graphicData uri="http://schemas.openxmlformats.org/drawingml/2006/picture">
                <pic:pic>
                  <pic:nvPicPr>
                    <pic:cNvPr id="0" name="km_blca_exp6_oof.png"/>
                    <pic:cNvPicPr/>
                  </pic:nvPicPr>
                  <pic:blipFill>
                    <a:blip r:embed="rId15"/>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5a BLCA 总体高低风险 KM 曲线。共 380 名验证患者，低风险 172 人、高风险 208 人；蓝色为低风险、红色为高风险。每折按训练患者风险中位数固定分组阈值，再汇总验证患者组别与结局；展示删失标记、名义 95% 置信区间和在险人数。</w:t>
      </w:r>
    </w:p>
    <w:p>
      <w:pPr>
        <w:keepNext/>
        <w:ind w:firstLine="0"/>
        <w:jc w:val="center"/>
      </w:pPr>
      <w:r>
        <w:drawing>
          <wp:inline xmlns:a="http://schemas.openxmlformats.org/drawingml/2006/main" xmlns:pic="http://schemas.openxmlformats.org/drawingml/2006/picture">
            <wp:extent cx="5940000" cy="5841000"/>
            <wp:docPr id="7" name="Picture 7" descr="KIRC Full 五折总体高低风险生存曲线"/>
            <wp:cNvGraphicFramePr>
              <a:graphicFrameLocks noChangeAspect="1"/>
            </wp:cNvGraphicFramePr>
            <a:graphic>
              <a:graphicData uri="http://schemas.openxmlformats.org/drawingml/2006/picture">
                <pic:pic>
                  <pic:nvPicPr>
                    <pic:cNvPr id="0" name="km_kirc_exp6_oof.png"/>
                    <pic:cNvPicPr/>
                  </pic:nvPicPr>
                  <pic:blipFill>
                    <a:blip r:embed="rId16"/>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5e KIRC 总体高低风险 KM 曲线。共 488 名验证患者，低风险 225 人、高风险 263 人。分组与显示口径同图 5a；当前两图均基于验证集选择的 checkpoint，不替代独立测试或临床效用评价，当前未报告 log-rank p 值。</w:t>
      </w:r>
    </w:p>
    <w:p>
      <w:pPr>
        <w:jc w:val="both"/>
      </w:pPr>
      <w:r>
        <w:rPr>
          <w:rFonts w:ascii="Times New Roman" w:hAnsi="Times New Roman" w:eastAsia="宋体"/>
          <w:b w:val="0"/>
          <w:color w:val="000000"/>
          <w:sz w:val="21"/>
        </w:rPr>
        <w:t>目前已接入 BLCA 和 KIRC 两个癌种，图 5 的覆盖为 2/10；BRCA、COADREAD、HNSC、LUAD、LUSC、SKCM、STAD 和 UCEC 的患者级预测、各折训练风险中位数与真实 KM 图仍待服务器导出并核验。图 5a 与图 5e 使用十队列统一顺序预留面板编号，未生成的癌种不绘制替代曲线。当前两队列中，高风险组的生存曲线整体低于低风险组，呈现开发阶段的预后分层趋势。曲线末端随在险人数减少而具有更大不确定性；本次未启用 log-rank 显示，因此不报告检验 p 值或独立测试显著性。</w:t>
      </w:r>
    </w:p>
    <w:p>
      <w:pPr>
        <w:pStyle w:val="Heading2"/>
        <w:ind w:firstLine="0"/>
      </w:pPr>
      <w:r>
        <w:rPr>
          <w:rFonts w:ascii="Times New Roman" w:hAnsi="Times New Roman" w:eastAsia="黑体"/>
          <w:b/>
          <w:color w:val="000000"/>
          <w:sz w:val="23"/>
        </w:rPr>
        <w:t>4.8 病例与队列解释</w:t>
      </w:r>
    </w:p>
    <w:p>
      <w:pPr>
        <w:jc w:val="both"/>
      </w:pPr>
      <w:r>
        <w:rPr>
          <w:rFonts w:ascii="Times New Roman" w:hAnsi="Times New Roman" w:eastAsia="宋体"/>
          <w:b w:val="0"/>
          <w:color w:val="000000"/>
          <w:sz w:val="21"/>
        </w:rPr>
        <w:t>病例分析接入 BLCA 验证患者 TCGA-2F-A9KP（fold1，Full，seed=3）的导出结果，病例 ID 与 export 元数据核对一致。现有材料包含八个组学槽对 329 条通路的聚合权重，以及病理槽与组学槽的事实运输计划。完整组织解释还需要原切片或缩略图、特征与坐标同行序证据及实际 Top-5 组织块；当前资源不足，图 6 仅展示已完成的非组织子图，不赋予自动病理诊断标签。KIRC 病例组织图也暂未纳入。</w:t>
      </w:r>
    </w:p>
    <w:p>
      <w:pPr>
        <w:jc w:val="both"/>
      </w:pPr>
      <w:r>
        <w:rPr>
          <w:rFonts w:ascii="Times New Roman" w:hAnsi="Times New Roman" w:eastAsia="宋体"/>
          <w:b w:val="0"/>
          <w:color w:val="000000"/>
          <w:sz w:val="21"/>
        </w:rPr>
        <w:t>对于后续组织图，组学槽的空间关联通过实际 OT 运输病理槽 attention 得到。设病理 attention 为 A，各阶段几何平均计划采用式（7）的定义，则：</w:t>
      </w:r>
    </w:p>
    <w:p>
      <w:pPr>
        <w:keepLines/>
        <w:spacing w:before="60" w:after="120"/>
        <w:ind w:firstLine="0"/>
        <w:jc w:val="center"/>
      </w:pPr>
      <m:oMath>
        <m:eqArr>
          <m:e>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r>
              <w:rPr>
                <w:rFonts w:ascii="Cambria Math" w:hAnsi="Cambria Math"/>
                <w:sz w:val="20"/>
              </w:rPr>
              <m:t xml:space="preserve">=</m:t>
            </m:r>
            <m:f>
              <m:num>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l</m:t>
                </m:r>
              </m:sub>
            </m:sSub>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sSub>
              <m:e>
                <m:r>
                  <w:rPr>
                    <w:rFonts w:ascii="Cambria Math" w:hAnsi="Cambria Math"/>
                    <w:sz w:val="20"/>
                  </w:rPr>
                  <m:t xml:space="preserve">∑</m:t>
                </m:r>
              </m:e>
              <m:sub>
                <m:r>
                  <w:rPr>
                    <w:rFonts w:ascii="Cambria Math" w:hAnsi="Cambria Math"/>
                    <w:sz w:val="20"/>
                  </w:rPr>
                  <m:t xml:space="preserve">k</m:t>
                </m:r>
              </m:sub>
            </m:sSub>
            <m:r>
              <w:rPr>
                <w:rFonts w:ascii="Cambria Math" w:hAnsi="Cambria Math"/>
                <w:sz w:val="20"/>
              </w:rPr>
              <m:t xml:space="preserve"> </m:t>
            </m:r>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e>
        </m:eqArr>
      </m:oMath>
      <w:r>
        <w:rPr>
          <w:rFonts w:ascii="Times New Roman" w:hAnsi="Times New Roman" w:eastAsia="宋体"/>
          <w:b w:val="0"/>
          <w:color w:val="000000"/>
          <w:sz w:val="18"/>
        </w:rPr>
        <w:t xml:space="preserve">  (14)</w:t>
      </w:r>
    </w:p>
    <w:p>
      <w:pPr>
        <w:jc w:val="both"/>
      </w:pPr>
      <w:r>
        <w:rPr>
          <w:rFonts w:ascii="Times New Roman" w:hAnsi="Times New Roman" w:eastAsia="宋体"/>
          <w:b w:val="0"/>
          <w:color w:val="000000"/>
          <w:sz w:val="21"/>
        </w:rPr>
        <w:t>此映射遵循模型“先平均几何计划、再按列归一化、最后阶段融合”的顺序。原始权重用于数值核验，显示版本另行记录有效 patch 总质量。它表示经运输关联的组学槽空间权重，不是基因表达的实测空间分布。</w:t>
      </w:r>
    </w:p>
    <w:p>
      <w:pPr>
        <w:keepNext/>
        <w:ind w:firstLine="0"/>
        <w:jc w:val="center"/>
      </w:pPr>
      <w:r>
        <w:drawing>
          <wp:inline xmlns:a="http://schemas.openxmlformats.org/drawingml/2006/main" xmlns:pic="http://schemas.openxmlformats.org/drawingml/2006/picture">
            <wp:extent cx="4873762" cy="6695999"/>
            <wp:docPr id="8" name="Picture 8" descr="BLCA 病例 TCGA-2F-A9KP 的通路到组学槽注意力矩阵"/>
            <wp:cNvGraphicFramePr>
              <a:graphicFrameLocks noChangeAspect="1"/>
            </wp:cNvGraphicFramePr>
            <a:graphic>
              <a:graphicData uri="http://schemas.openxmlformats.org/drawingml/2006/picture">
                <pic:pic>
                  <pic:nvPicPr>
                    <pic:cNvPr id="0" name="pathway_slot_map.png"/>
                    <pic:cNvPicPr/>
                  </pic:nvPicPr>
                  <pic:blipFill>
                    <a:blip r:embed="rId17"/>
                    <a:stretch>
                      <a:fillRect/>
                    </a:stretch>
                  </pic:blipFill>
                  <pic:spPr>
                    <a:xfrm>
                      <a:off x="0" y="0"/>
                      <a:ext cx="4873762" cy="6695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6a TCGA-2F-A9KP 的通路—槽聚合矩阵。列为八个组学槽，行为按最大权重槽排序的 329 条通路，颜色保留原始 attention。该图描述模型聚合关联，不代表实测基因表达或组织分割。</w:t>
      </w:r>
    </w:p>
    <w:p>
      <w:pPr>
        <w:keepNext/>
        <w:ind w:firstLine="0"/>
        <w:jc w:val="center"/>
      </w:pPr>
      <w:r>
        <w:drawing>
          <wp:inline xmlns:a="http://schemas.openxmlformats.org/drawingml/2006/main" xmlns:pic="http://schemas.openxmlformats.org/drawingml/2006/picture">
            <wp:extent cx="5940000" cy="1762364"/>
            <wp:docPr id="9" name="Picture 9" descr="BLCA 病例的学习运输计划、同边际独立计划与差值"/>
            <wp:cNvGraphicFramePr>
              <a:graphicFrameLocks noChangeAspect="1"/>
            </wp:cNvGraphicFramePr>
            <a:graphic>
              <a:graphicData uri="http://schemas.openxmlformats.org/drawingml/2006/picture">
                <pic:pic>
                  <pic:nvPicPr>
                    <pic:cNvPr id="0" name="transport_association.png"/>
                    <pic:cNvPicPr/>
                  </pic:nvPicPr>
                  <pic:blipFill>
                    <a:blip r:embed="rId18"/>
                    <a:stretch>
                      <a:fillRect/>
                    </a:stretch>
                  </pic:blipFill>
                  <pic:spPr>
                    <a:xfrm>
                      <a:off x="0" y="0"/>
                      <a:ext cx="5940000" cy="176236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6b 同一病例的病理槽—组学槽运输关联。左为学习运输，中央为同事实边际构造的独立计划，右为两者之差；各阶段先平均几何分支，再按事实阶段门控融合。差值矩阵的最大绝对值约为 0.0214。运输关联本身不证明因果或模块预测收益，真实组织空间图与 Top-5 组织块仍待补齐。</w:t>
      </w:r>
    </w:p>
    <w:p>
      <w:pPr>
        <w:jc w:val="both"/>
      </w:pPr>
      <w:r>
        <w:rPr>
          <w:rFonts w:ascii="Times New Roman" w:hAnsi="Times New Roman" w:eastAsia="宋体"/>
          <w:b w:val="0"/>
          <w:color w:val="000000"/>
          <w:sz w:val="21"/>
        </w:rPr>
        <w:t>队列分析使用五折全部验证患者导出的组学槽 attention。各折内按验证患者预测风险的 midrank 百分位划分 Q1–Q4，从低风险到高风险排列；并列风险保留相同百分位，因此组人数不要求完全相等。该分组用于描述性队列展示，与图 5 使用训练风险中位数的高低二分口径不同。不同 fold 的槽编号不假设已对齐；先对每名患者的八个组学槽 attention 等权平均，再按真实通路名称对齐，计算组内患者等权均值。每名患者只贡献一次；删失者按预测风险分组，其随访时间不当作已知死亡时间。</w:t>
      </w:r>
    </w:p>
    <w:p>
      <w:pPr>
        <w:jc w:val="both"/>
      </w:pPr>
      <w:r>
        <w:rPr>
          <w:rFonts w:ascii="Times New Roman" w:hAnsi="Times New Roman" w:eastAsia="宋体"/>
          <w:b w:val="0"/>
          <w:color w:val="000000"/>
          <w:sz w:val="21"/>
        </w:rPr>
        <w:t>每组按平均 attention 选取 Top-10 通路并取并集，BLCA 共 29 条，KIRC 共 33 条。图 7 主图显示绝对注意力差值：每条通路在某风险组的平均权重，减去该通路四个风险组均值的等权平均。四组不按患者人数加权，也不做逐行标准差归一化。红色表示高于该通路的四组平均，蓝色表示低于平均；色标为绝对 attention 单位，各癌种范围分别标注。原始平均权重见补充图 S3。</w:t>
      </w:r>
    </w:p>
    <w:p>
      <w:pPr>
        <w:keepNext/>
        <w:ind w:firstLine="0"/>
        <w:jc w:val="center"/>
      </w:pPr>
      <w:r>
        <w:drawing>
          <wp:inline xmlns:a="http://schemas.openxmlformats.org/drawingml/2006/main" xmlns:pic="http://schemas.openxmlformats.org/drawingml/2006/picture">
            <wp:extent cx="5846782" cy="7631999"/>
            <wp:docPr id="10" name="Picture 10" descr="BLCA 队列通路注意力的绝对组间差值"/>
            <wp:cNvGraphicFramePr>
              <a:graphicFrameLocks noChangeAspect="1"/>
            </wp:cNvGraphicFramePr>
            <a:graphic>
              <a:graphicData uri="http://schemas.openxmlformats.org/drawingml/2006/picture">
                <pic:pic>
                  <pic:nvPicPr>
                    <pic:cNvPr id="0" name="fig7_attention_difference_blca.png"/>
                    <pic:cNvPicPr/>
                  </pic:nvPicPr>
                  <pic:blipFill>
                    <a:blip r:embed="rId19"/>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7a BLCA 通路注意力差值。380 名验证患者的 Q1–Q4 各 95 人，显示 29 条入选通路。色标关于零对称，最大绝对差值为 3.61×10⁻⁵；未标准化为 z-score，不添加显著性星号。</w:t>
      </w:r>
    </w:p>
    <w:p>
      <w:pPr>
        <w:keepNext/>
        <w:ind w:firstLine="0"/>
        <w:jc w:val="center"/>
      </w:pPr>
      <w:r>
        <w:drawing>
          <wp:inline xmlns:a="http://schemas.openxmlformats.org/drawingml/2006/main" xmlns:pic="http://schemas.openxmlformats.org/drawingml/2006/picture">
            <wp:extent cx="5428165" cy="7632000"/>
            <wp:docPr id="11" name="Picture 11" descr="KIRC 队列通路注意力的绝对组间差值"/>
            <wp:cNvGraphicFramePr>
              <a:graphicFrameLocks noChangeAspect="1"/>
            </wp:cNvGraphicFramePr>
            <a:graphic>
              <a:graphicData uri="http://schemas.openxmlformats.org/drawingml/2006/picture">
                <pic:pic>
                  <pic:nvPicPr>
                    <pic:cNvPr id="0" name="fig7_attention_difference_kirc.png"/>
                    <pic:cNvPicPr/>
                  </pic:nvPicPr>
                  <pic:blipFill>
                    <a:blip r:embed="rId20"/>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7b KIRC 通路注意力差值。488 名验证患者的 Q1–Q4 分别为 120、123、122、123 人，显示 33 条入选通路；最大绝对差值为 1.45×10⁻⁴。其色标范围与图 7a 不同，跨癌种比较应读取数值，不能直接比较颜色深浅。</w:t>
      </w:r>
    </w:p>
    <w:p>
      <w:pPr>
        <w:jc w:val="both"/>
      </w:pPr>
      <w:r>
        <w:rPr>
          <w:rFonts w:ascii="Times New Roman" w:hAnsi="Times New Roman" w:eastAsia="宋体"/>
          <w:b w:val="0"/>
          <w:color w:val="000000"/>
          <w:sz w:val="21"/>
        </w:rPr>
        <w:t>所展示通路的原始组均值在 BLCA 为 0.0030188–0.0030858，在 KIRC 为 0.0028853–0.0032756；BLCA 尤其集中，采用零起点的原始色标时呈近乎一致的红色。差值主图呈现的是这种较小的组间偏离，不能据其颜色对比声称大幅生物学差异。通路由当前验证队列的 attention 挑选，现有结果提供描述性计算关联；本文不据此指定哪类组织或通路解释了性能提升，也不把这些权重解释为基因表达量或因果风险贡献。</w:t>
      </w:r>
    </w:p>
    <w:p>
      <w:pPr>
        <w:pStyle w:val="Heading2"/>
        <w:ind w:firstLine="0"/>
      </w:pPr>
      <w:r>
        <w:rPr>
          <w:rFonts w:ascii="Times New Roman" w:hAnsi="Times New Roman" w:eastAsia="黑体"/>
          <w:b/>
          <w:color w:val="000000"/>
          <w:sz w:val="23"/>
        </w:rPr>
        <w:t>4.9 槽诊断与计算成本</w:t>
      </w:r>
    </w:p>
    <w:p>
      <w:pPr>
        <w:jc w:val="both"/>
      </w:pPr>
      <w:r>
        <w:rPr>
          <w:rFonts w:ascii="Times New Roman" w:hAnsi="Times New Roman" w:eastAsia="宋体"/>
          <w:b w:val="0"/>
          <w:color w:val="000000"/>
          <w:sz w:val="21"/>
        </w:rPr>
        <w:t>补充分析拟按同折比较 Exp2、Exp3、Full 的槽相似度、表征距离和 hazard 方差，并结合 diversity 的实际开关分析退化现象。具有多个槽不自动保证各槽承担不同生物学功能，距离约束也不替代实测诊断。</w:t>
      </w:r>
    </w:p>
    <w:p>
      <w:pPr>
        <w:jc w:val="both"/>
      </w:pPr>
      <w:r>
        <w:rPr>
          <w:rFonts w:ascii="Times New Roman" w:hAnsi="Times New Roman" w:eastAsia="宋体"/>
          <w:b w:val="0"/>
          <w:color w:val="000000"/>
          <w:sz w:val="21"/>
        </w:rPr>
        <w:t>效率结果按同 GPU、batch、patch 数与 forward 范围报告，区分普通预测与包含解释导出的额外计算。当前 DCT forward 可能执行辅助重建，与外部模型比较时要记录相同边界。没有真实计时与设备记录，不填写推理速度、显存或效率优势。</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完整模型在 BLCA/KIRC 的平均分数高于同架构仅患者级 NLL，也高于取消重建运输对齐的 Direct 和取消非独立联合计划的 Independent。损失消融说明联合目标的整体收益；两个机制对照进一步把比较对象落实到运输参与计算的位置。Direct 保留主预测 OT，Independent 仍保留模态交互和学习边际，不能用“两个简化版彼此接近”推导完整运输无用。</w:t>
      </w:r>
    </w:p>
    <w:p>
      <w:pPr>
        <w:jc w:val="both"/>
      </w:pPr>
      <w:r>
        <w:rPr>
          <w:rFonts w:ascii="Times New Roman" w:hAnsi="Times New Roman" w:eastAsia="宋体"/>
          <w:b w:val="0"/>
          <w:color w:val="000000"/>
          <w:sz w:val="21"/>
        </w:rPr>
        <w:t>本文的机制证据仍有明确范围。Full 与 Direct 的比较关注运输感知重建输入；Full 与 Independent 同时改变预测和重建路径，不能把其收益全部归于 cross decoder。固定 checkpoint 的计划替换已观察到 C-index 基本不敏感，检验的是训练完成后该模型对同实际边缘结构替换的响应。重训对照检验改变计算路径后重新优化的结果，两者的比较对象不同。平均训练收益与推理期低敏感性可以同时存在；当前数据不足以判断低敏感性来自计划接近、风险读取路径或其他因素，不以其中一项替代另一项。</w:t>
      </w:r>
    </w:p>
    <w:p>
      <w:pPr>
        <w:jc w:val="both"/>
      </w:pPr>
      <w:r>
        <w:rPr>
          <w:rFonts w:ascii="Times New Roman" w:hAnsi="Times New Roman" w:eastAsia="宋体"/>
          <w:b w:val="0"/>
          <w:color w:val="000000"/>
          <w:sz w:val="21"/>
        </w:rPr>
        <w:t>辅助目标的作用具有队列依赖性。KIRC 的中间损失配置低于仅 NLL，完整配置则更高、折间波动更小；BLCA 的 self-only 也低于 Exp3。当前结果支持完整组合，而不是每项损失都独立提高性能。历史单支与双支系数不匹配，因此尚不能用它们证明严格协同效应。</w:t>
      </w:r>
    </w:p>
    <w:p>
      <w:pPr>
        <w:jc w:val="both"/>
      </w:pPr>
      <w:r>
        <w:rPr>
          <w:rFonts w:ascii="Times New Roman" w:hAnsi="Times New Roman" w:eastAsia="宋体"/>
          <w:b w:val="0"/>
          <w:color w:val="000000"/>
          <w:sz w:val="21"/>
        </w:rPr>
        <w:t>解释分析围绕可核验的计算路径展开。原型提供固定索引，但没有自动赋予槽临床或生物学标签；attention 和 OT 空间图描述聚合关系；重建目标是编码后的通路 token，而且事实运输使用患者实际组学输入。因此本文不把它表述为仅靠病理恢复原始基因表达、缺失组学推理或临床因果解释。病例图需要与全队列趋势和必要病理注释共同审阅。</w:t>
      </w:r>
    </w:p>
    <w:p>
      <w:pPr>
        <w:jc w:val="both"/>
      </w:pPr>
      <w:r>
        <w:rPr>
          <w:rFonts w:ascii="Times New Roman" w:hAnsi="Times New Roman" w:eastAsia="宋体"/>
          <w:b w:val="0"/>
          <w:color w:val="000000"/>
          <w:sz w:val="21"/>
        </w:rPr>
        <w:t>评价采用单 seed 五折最佳验证协议，验证集同时用于选择 checkpoint 和评分。这支持现有开发条件下的比较，不能估计独立外部测试表现。训练折相互重叠，也使折级差异不满足简单独立样本假设。本文报告平均差与逐折趋势，不因均值差小于一个标准差就判定无效，也不把不显著当作等价。外部基线表、独立测试、多 seed 及临床分析属于尚需补齐的证据范围。</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DCT 以模态内共享原型组织槽表示，在紧凑槽空间学习阶段条件多几何运输，并复用预测计划执行运输感知通路重建。UNI2-h 十队列记录的平均 C-index 为 0.7030；BLCA/KIRC 的完整目标相对同架构仅 NLL 分别提高 2.37 和 1.04 个百分点。重跑控制臂的平均比较进一步支持重建中的运输对齐和学习联合计划的任务价值。本文将这些结果限定于当前单 seed 最佳验证协议，同时报告固定模型在同边缘计划替换下的低敏感性，并结合已完成的两癌种风险分层、病例槽通路与队列注意力差值图描述模型关联；其余八个癌种的 KM 尚待完整接入；组织图与进一步机制验证仍待完整核验，不将描述性热图作为因果或临床验证。</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21">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22">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ICLR, 2026; arXiv:2512.01116. </w:t>
      </w:r>
      <w:hyperlink r:id="rId23">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24">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25">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26">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27">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28">
        <w:r>
          <w:t>官方模型与版本说明</w:t>
        </w:r>
      </w:hyperlink>
      <w:r>
        <w:rPr>
          <w:rFonts w:ascii="Times New Roman" w:hAnsi="Times New Roman" w:eastAsia="宋体"/>
          <w:b w:val="0"/>
          <w:color w:val="000000"/>
          <w:sz w:val="19"/>
        </w:rPr>
        <w:t>. Accessed 2026-10-06.</w:t>
      </w:r>
    </w:p>
    <w:p>
      <w:pPr>
        <w:keepLines/>
        <w:ind w:hanging="283" w:left="283"/>
        <w:jc w:val="left"/>
      </w:pPr>
      <w:r>
        <w:rPr>
          <w:rFonts w:ascii="Times New Roman" w:hAnsi="Times New Roman" w:eastAsia="宋体"/>
          <w:b w:val="0"/>
          <w:color w:val="000000"/>
          <w:sz w:val="19"/>
        </w:rPr>
        <w:t xml:space="preserve">[9] Liu W, et al. Together, Then Apart: Balancing Alignment and Distinctiveness for Multimodal Survival Analysis. arXiv:2511.18089. </w:t>
      </w:r>
      <w:hyperlink r:id="rId29">
        <w:r>
          <w:t>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[10] Ren Q, et al. OTSurv: A Novel Multiple Instance Learning Framework for Survival Prediction with Heterogeneity-aware Optimal Transport. MICCAI, 2025. </w:t>
      </w:r>
      <w:hyperlink r:id="rId30">
        <w:r>
          <w:t>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[11] Liu P, et al. Sparse Task Vector Mixup with Hypernetworks for Efficient Knowledge Transfer in Whole-Slide Image Prognosis. CVPR, 2026. </w:t>
      </w:r>
      <w:hyperlink r:id="rId31">
        <w:r>
          <w:t>原文</w:t>
        </w:r>
      </w:hyperlink>
      <w:r>
        <w:rPr>
          <w:rFonts w:ascii="Times New Roman" w:hAnsi="Times New Roman" w:eastAsia="宋体"/>
          <w:b w:val="0"/>
          <w:color w:val="000000"/>
          <w:sz w:val="19"/>
        </w:rPr>
        <w:t>，</w:t>
      </w:r>
      <w:hyperlink r:id="rId32">
        <w:r>
          <w:t>补充材料</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[12] ProtoPathway: Biologically Structured Prototype-Pathway Fusion for Multimodal Cancer Survival Prediction. arXiv:2605.21454, 2026. </w:t>
      </w:r>
      <w:hyperlink r:id="rId33">
        <w:r>
          <w:t>原文</w:t>
        </w:r>
      </w:hyperlink>
      <w:r>
        <w:rPr>
          <w:rFonts w:ascii="Times New Roman" w:hAnsi="Times New Roman" w:eastAsia="宋体"/>
          <w:b w:val="0"/>
          <w:color w:val="000000"/>
          <w:sz w:val="19"/>
        </w:rPr>
        <w:t>，</w:t>
      </w:r>
      <w:hyperlink r:id="rId34">
        <w:r>
          <w:t>作者代码与 UNI2-h 特征说明</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[13] Feng L, Xiao L. Multimodal cancer survival prediction with optimal transport reconstruction and fisher-guided modal reweighting. Expert Systems with Applications, DOI:10.1016/j.eswa.2026.133823. </w:t>
      </w:r>
      <w:hyperlink r:id="rId35">
        <w:r>
          <w:t>出版社公开摘要</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[14] ME-Mamba. arXiv:2509.16900. </w:t>
      </w:r>
      <w:hyperlink r:id="rId36">
        <w:r>
          <w:t>原文</w:t>
        </w:r>
      </w:hyperlink>
      <w:r>
        <w:rPr>
          <w:rFonts w:ascii="Times New Roman" w:hAnsi="Times New Roman" w:eastAsia="宋体"/>
          <w:b w:val="0"/>
          <w:color w:val="000000"/>
          <w:sz w:val="19"/>
        </w:rPr>
        <w:t>.</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个损失消融折级评分，格式为 C-index（epoch 索引）。正文统计由这些折值重算。所有配置共享 v3.13 预测架构，辅助目标随表 3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2"/>
        <w:ind w:firstLine="0"/>
      </w:pPr>
      <w:r>
        <w:rPr>
          <w:rFonts w:ascii="Times New Roman" w:hAnsi="Times New Roman" w:eastAsia="黑体"/>
          <w:b/>
          <w:color w:val="000000"/>
          <w:sz w:val="23"/>
        </w:rPr>
        <w:t>重跑机制控制臂</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队列与配置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0.6500（4）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0.7082（14）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0.7779（8）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0.6799（0）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KIRC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0.8541（10）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0.8018（13）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0.7900（2）</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0.7185（14）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0.6857（6）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0.7375（3）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0.7530（3）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KIRC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0.8124（21）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0.8324（18）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0.7950（6）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0.7929（2）</w:t>
            </w:r>
          </w:p>
        </w:tc>
      </w:tr>
    </w:tbl>
    <w:p>
      <w:pPr>
        <w:keepLines/>
        <w:spacing w:line="264" w:lineRule="auto"/>
        <w:ind w:firstLine="0"/>
      </w:pPr>
      <w:r>
        <w:rPr>
          <w:rFonts w:ascii="Times New Roman" w:hAnsi="Times New Roman" w:eastAsia="宋体"/>
          <w:b w:val="0"/>
          <w:color w:val="000000"/>
          <w:sz w:val="18"/>
        </w:rPr>
        <w:t>表 A3 重跑控制臂的完整折值与最佳 epoch 索引，来自 controls_audit.json。epoch0 表示第一轮训练后的评价，不能视为未经训练的随机初始化评分。</w:t>
      </w:r>
    </w:p>
    <w:p>
      <w:pPr>
        <w:pStyle w:val="Heading1"/>
        <w:ind w:firstLine="0"/>
      </w:pPr>
      <w:r>
        <w:rPr>
          <w:rFonts w:ascii="Times New Roman" w:hAnsi="Times New Roman" w:eastAsia="黑体"/>
          <w:b/>
          <w:color w:val="000000"/>
          <w:sz w:val="26"/>
        </w:rPr>
        <w:t>附录 B 结果来源与待补材料</w:t>
      </w:r>
    </w:p>
    <w:p>
      <w:pPr>
        <w:jc w:val="both"/>
      </w:pPr>
      <w:r>
        <w:rPr>
          <w:rFonts w:ascii="Times New Roman" w:hAnsi="Times New Roman" w:eastAsia="宋体"/>
          <w:b w:val="0"/>
          <w:color w:val="000000"/>
          <w:sz w:val="21"/>
        </w:rPr>
        <w:t>70 个损失消融折值来源于 v311_vs_v313_uni_comparison.md 的 2026-09-30 Appendix A，已在附录 A 完整保留。记录对应 UNI2-h、seed=3、batch=8、30 epochs。目标系数按历史实际有效权重解释；标准差由现有折值重算，原始患者预测和配置复核应继续保留。</w:t>
      </w:r>
    </w:p>
    <w:p>
      <w:pPr>
        <w:jc w:val="both"/>
      </w:pPr>
      <w:r>
        <w:rPr>
          <w:rFonts w:ascii="Times New Roman" w:hAnsi="Times New Roman" w:eastAsia="宋体"/>
          <w:b w:val="0"/>
          <w:color w:val="000000"/>
          <w:sz w:val="21"/>
        </w:rPr>
        <w:t>十队列 50 个 Full 折值来自作者提供的 UNI2-h 完整逐折汇总，BLCA/KIRC 与损失消融 Full 相同。当前仓库的 multi_cancer_summary_v313.json 只包含部分癌种，不能独自充当完整十队列溯源。正文使用已提供数值，最终提交前仍须附全部癌种真实曲线、配置与患者清单的对应；本次不通过编造路径补齐来源。KIRC 标准差统一使用样本口径，避免与原汇总的总体口径混用。</w:t>
      </w:r>
    </w:p>
    <w:p>
      <w:pPr>
        <w:jc w:val="both"/>
      </w:pPr>
      <w:r>
        <w:rPr>
          <w:rFonts w:ascii="Times New Roman" w:hAnsi="Times New Roman" w:eastAsia="宋体"/>
          <w:b w:val="0"/>
          <w:color w:val="000000"/>
          <w:sz w:val="21"/>
        </w:rPr>
        <w:t>20 个重跑控制臂来自 results/v313_evidence_v2/controls.json 和 controls_audit.json，审计记录 passed=True、errors=0，每项含实际最佳 epoch、重算 C-index、患者身份、结局及产物 hash；训练来源 commit 为 0ed9d9d46f27b3b1973581fb5e278860ee2d2e9d。本文从该审计 JSON 汇总表 5 和表 A3，不从旧手写汇总复制。服务器原文件未在本次文稿编辑中重新执行推理，审计状态是已提交的服务器审计记录。</w:t>
      </w:r>
    </w:p>
    <w:p>
      <w:pPr>
        <w:jc w:val="both"/>
      </w:pPr>
      <w:r>
        <w:rPr>
          <w:rFonts w:ascii="Times New Roman" w:hAnsi="Times New Roman" w:eastAsia="宋体"/>
          <w:b w:val="0"/>
          <w:color w:val="000000"/>
          <w:sz w:val="21"/>
        </w:rPr>
        <w:t>历史异常 Stage A 目录与旧机制比较图已排除，不与此次 20 个重跑结果混用。HANDOFF_20261006.md 的旧 evidence 警告部分仍含未更新的 Full 来源说明，不用其 0.7208/0.8270 或 Exp6 0.7131 替换已明确的 UNI2-h Full。训练条件的最终配对核对还应包括患者、结局、split、编码器、采样、有效损失权重及最佳 checkpoint 口径。</w:t>
      </w:r>
    </w:p>
    <w:p>
      <w:pPr>
        <w:jc w:val="both"/>
      </w:pPr>
      <w:r>
        <w:rPr>
          <w:rFonts w:ascii="Times New Roman" w:hAnsi="Times New Roman" w:eastAsia="宋体"/>
          <w:b w:val="0"/>
          <w:color w:val="000000"/>
          <w:sz w:val="21"/>
        </w:rPr>
        <w:t>表 2 已扩展为 21 个参照方法与 DCT，所有方法标注年份，SlotSPE 自身三行全部排除。183 个对齐的公开队列均值已汇总，十癌种均有外部参照；额外方法未报告的单独队列保留 NR。Overall 只比较完整相同十队列行，保留 15 个基线的原文值和 DCT 的未四舍五入宏均值。数据、离散度、年份来源与 SHA256 记录在 paper/V313_OT_UNI2H_COMPARISON_INPUT.json；DCT 的真实 50 个折值不变。旧的全 SlotSPE 表作为历史来源保留，不作为当前正文比较。队列人数、事件/删失比例和设备信息仅在真实清单可核验时补入。</w:t>
      </w:r>
    </w:p>
    <w:p>
      <w:pPr>
        <w:jc w:val="both"/>
      </w:pPr>
      <w:r>
        <w:rPr>
          <w:rFonts w:ascii="Times New Roman" w:hAnsi="Times New Roman" w:eastAsia="宋体"/>
          <w:b w:val="0"/>
          <w:color w:val="000000"/>
          <w:sz w:val="21"/>
        </w:rPr>
        <w:t>图 1–7 已接入已有数值或代码对应示意，图 5 仅完成十队列目标中的 BLCA/KIRC 两个癌种，其中图 6 仅包含已完成的 BLCA 病例通路和运输子图，组织空间图、Top-5 组织块与 KIRC 病例图仍待补齐。图 2、3、7 与补充图 S3 由已保存记录重绘，原始图片和 JSON 保留，来源 hash 与数值快照见 figures/v313_manuscript_integrated/manifest.json。图 3 差值按未四舍五入的原始折值计算；原稿先对均值四舍五入再相减产生的末位差异同步修正，实验成绩不变。图 4 继续使用 commit 24f3f10 的十折 sweep JSON，缺少患者级最佳预测对齐与边缘残差记录的限制保持不变。图 5 与图 7 分别使用训练风险中位数和折内验证风险百分位分组；人数以对应患者 JSON/CSV 为准，不采用历史执行报告中的不一致组数。新增服务器实验的进度报告不替代原始逐折结果，未将尚未同步核验的结论填入正文。本次论文接图不运行模型，也不填写未经实测的 KM 显著性、组织诊断或效率优势。</w:t>
      </w:r>
    </w:p>
    <w:p>
      <w:pPr>
        <w:pStyle w:val="Heading1"/>
        <w:ind w:firstLine="0"/>
      </w:pPr>
      <w:r>
        <w:rPr>
          <w:rFonts w:ascii="Times New Roman" w:hAnsi="Times New Roman" w:eastAsia="黑体"/>
          <w:b/>
          <w:color w:val="000000"/>
          <w:sz w:val="26"/>
        </w:rPr>
        <w:t>附录 C 图像接入清单</w:t>
      </w:r>
    </w:p>
    <w:tbl>
      <w:tblPr>
        <w:tblW w:type="auto" w:w="0"/>
        <w:jc w:val="center"/>
        <w:tblLayout w:type="fixed"/>
        <w:tblLook w:firstColumn="1" w:firstRow="1" w:lastColumn="0" w:lastRow="0" w:noHBand="0" w:noVBand="1" w:val="04A0"/>
      </w:tblPr>
      <w:tblGrid>
        <w:gridCol w:w="624"/>
        <w:gridCol w:w="1701"/>
        <w:gridCol w:w="7143"/>
      </w:tblGrid>
      <w:tr>
        <w:trPr>
          <w:cantSplit/>
          <w:tblHeader/>
        </w:trPr>
        <w:tc>
          <w:tcPr>
            <w:tcW w:type="dxa" w:w="62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图号</w:t>
            </w:r>
          </w:p>
        </w:tc>
        <w:tc>
          <w:tcPr>
            <w:tcW w:type="dxa" w:w="170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插入位置</w:t>
            </w:r>
          </w:p>
        </w:tc>
        <w:tc>
          <w:tcPr>
            <w:tcW w:type="dxa" w:w="71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需要同时交付的材料</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1</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方法 3.1</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可编辑架构图或 PDF、PNG，与实际代码对应</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2</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4.4，已插入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Exp0–Exp6 五折分布、样本标准差与历史支路权重</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3</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4.5，已插入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事实 sweep Full 与审计控制臂折值；Full-control 配对核对仍待完成</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4</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4.6，已插入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十折 sweep JSON（24f3f10）；患者预测对齐与边缘残差记录仍待补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5</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4.7，十队列目标完成 2/10</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BLCA/KIRC 已接入；其余八癌种缺五折患者预测、训练阈值和真实曲线</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6</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4.8，非组织子图已插入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 病例 ID、通路与实际运输；原坐标、组织图、Top-5 及 KIRC 病例待补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图 7</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结果 4.8，已插入两面板</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折内验证风险百分位四组、绝对 attention 差值、组人数及原始矩阵</w:t>
            </w:r>
          </w:p>
        </w:tc>
      </w:tr>
    </w:tbl>
    <w:p>
      <w:pPr>
        <w:jc w:val="both"/>
      </w:pPr>
      <w:r>
        <w:rPr>
          <w:rFonts w:ascii="Times New Roman" w:hAnsi="Times New Roman" w:eastAsia="宋体"/>
          <w:b w:val="0"/>
          <w:color w:val="000000"/>
          <w:sz w:val="21"/>
        </w:rPr>
        <w:t>槽诊断与效率图 S1、S2 仍待正式结果；原始队列通路平均权重已接入补充图 S3。校准或临床图按数据支持另行接入。真实组织图未完成的状态单独记录，不以已经插入的非组织病例子图替代。</w:t>
      </w:r>
    </w:p>
    <w:p>
      <w:pPr>
        <w:pStyle w:val="Heading1"/>
        <w:ind w:firstLine="0"/>
      </w:pPr>
      <w:r>
        <w:rPr>
          <w:rFonts w:ascii="Times New Roman" w:hAnsi="Times New Roman" w:eastAsia="黑体"/>
          <w:b/>
          <w:color w:val="000000"/>
          <w:sz w:val="26"/>
        </w:rPr>
        <w:t>附录 D 原始通路注意力</w:t>
      </w:r>
    </w:p>
    <w:p>
      <w:pPr>
        <w:jc w:val="both"/>
      </w:pPr>
      <w:r>
        <w:rPr>
          <w:rFonts w:ascii="Times New Roman" w:hAnsi="Times New Roman" w:eastAsia="宋体"/>
          <w:b w:val="0"/>
          <w:color w:val="000000"/>
          <w:sz w:val="21"/>
        </w:rPr>
        <w:t>补充图 S3 保留与图 7 同一患者、同一通路顺序和同一组均值的原始平均权重。色标从零开始，显示绝对 attention，因数值集中而呈近乎一致的红色；未为增强对比改变原始权重或对行进行标准化。原始均值与图 7 的差值矩阵均保留在来源 JSON 及本次作图数值快照中。</w:t>
      </w:r>
    </w:p>
    <w:p>
      <w:pPr>
        <w:keepNext/>
        <w:ind w:firstLine="0"/>
        <w:jc w:val="center"/>
      </w:pPr>
      <w:r>
        <w:drawing>
          <wp:inline xmlns:a="http://schemas.openxmlformats.org/drawingml/2006/main" xmlns:pic="http://schemas.openxmlformats.org/drawingml/2006/picture">
            <wp:extent cx="5846782" cy="7631999"/>
            <wp:docPr id="12" name="Picture 12" descr="BLCA 队列通路的原始平均注意力"/>
            <wp:cNvGraphicFramePr>
              <a:graphicFrameLocks noChangeAspect="1"/>
            </wp:cNvGraphicFramePr>
            <a:graphic>
              <a:graphicData uri="http://schemas.openxmlformats.org/drawingml/2006/picture">
                <pic:pic>
                  <pic:nvPicPr>
                    <pic:cNvPr id="0" name="figS3_raw_attention_blca.png"/>
                    <pic:cNvPicPr/>
                  </pic:nvPicPr>
                  <pic:blipFill>
                    <a:blip r:embed="rId37"/>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S3a BLCA 四风险组的原始平均通路 attention，组别和通路与图 7a 一致；数值范围为 0.0030188–0.0030858。</w:t>
      </w:r>
    </w:p>
    <w:p>
      <w:pPr>
        <w:keepNext/>
        <w:ind w:firstLine="0"/>
        <w:jc w:val="center"/>
      </w:pPr>
      <w:r>
        <w:drawing>
          <wp:inline xmlns:a="http://schemas.openxmlformats.org/drawingml/2006/main" xmlns:pic="http://schemas.openxmlformats.org/drawingml/2006/picture">
            <wp:extent cx="5428165" cy="7632000"/>
            <wp:docPr id="13" name="Picture 13" descr="KIRC 队列通路的原始平均注意力"/>
            <wp:cNvGraphicFramePr>
              <a:graphicFrameLocks noChangeAspect="1"/>
            </wp:cNvGraphicFramePr>
            <a:graphic>
              <a:graphicData uri="http://schemas.openxmlformats.org/drawingml/2006/picture">
                <pic:pic>
                  <pic:nvPicPr>
                    <pic:cNvPr id="0" name="figS3_raw_attention_kirc.png"/>
                    <pic:cNvPicPr/>
                  </pic:nvPicPr>
                  <pic:blipFill>
                    <a:blip r:embed="rId38"/>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S3b KIRC 四风险组的原始平均通路 attention，组别和通路与图 7b 一致；数值范围为 0.0028853–0.0032756。</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openaccess.thecvf.com/content/ICCV2021/html/Chen_Multimodal_Co-Attention_Transformer_for_Survival_Prediction_in_Gigapixel_Whole_Slide_ICCV_2021_paper.html" TargetMode="External"/><Relationship Id="rId22" Type="http://schemas.openxmlformats.org/officeDocument/2006/relationships/hyperlink" Target="https://openaccess.thecvf.com/content/ICCV2023/papers/Xu_Multimodal_Optimal_Transport-based_Co-Attention_Transformer_with_Global_Structure_Consistency_for_ICCV_2023_paper.pdf" TargetMode="External"/><Relationship Id="rId23" Type="http://schemas.openxmlformats.org/officeDocument/2006/relationships/hyperlink" Target="https://arxiv.org/abs/2512.01116" TargetMode="External"/><Relationship Id="rId24" Type="http://schemas.openxmlformats.org/officeDocument/2006/relationships/hyperlink" Target="https://papers.nips.cc/paper/2020/hash/8511df98c02ab60aea1b2356c013bc0f-Abstract.html" TargetMode="External"/><Relationship Id="rId25" Type="http://schemas.openxmlformats.org/officeDocument/2006/relationships/hyperlink" Target="https://papers.neurips.cc/paper_files/paper/2013/hash/af21d0c97db2e27e13572cbf59eb343d-Abstract.html" TargetMode="External"/><Relationship Id="rId26" Type="http://schemas.openxmlformats.org/officeDocument/2006/relationships/hyperlink" Target="https://peerj.com/articles/6257/" TargetMode="External"/><Relationship Id="rId27" Type="http://schemas.openxmlformats.org/officeDocument/2006/relationships/hyperlink" Target="https://pmc.ncbi.nlm.nih.gov/articles/PMC3079915/" TargetMode="External"/><Relationship Id="rId28" Type="http://schemas.openxmlformats.org/officeDocument/2006/relationships/hyperlink" Target="https://github.com/mahmoodlab/UNI" TargetMode="External"/><Relationship Id="rId29" Type="http://schemas.openxmlformats.org/officeDocument/2006/relationships/hyperlink" Target="https://arxiv.org/html/2511.18089" TargetMode="External"/><Relationship Id="rId30" Type="http://schemas.openxmlformats.org/officeDocument/2006/relationships/hyperlink" Target="https://papers.miccai.org/miccai-2025/paper/1359_paper.pdf" TargetMode="External"/><Relationship Id="rId31" Type="http://schemas.openxmlformats.org/officeDocument/2006/relationships/hyperlink" Target="https://arxiv.org/html/2603.10526" TargetMode="External"/><Relationship Id="rId32" Type="http://schemas.openxmlformats.org/officeDocument/2006/relationships/hyperlink" Target="https://openaccess.thecvf.com/content/CVPR2026/supplemental/Liu_Sparse_Task_Vector_CVPR_2026_supplemental.pdf" TargetMode="External"/><Relationship Id="rId33" Type="http://schemas.openxmlformats.org/officeDocument/2006/relationships/hyperlink" Target="https://arxiv.org/html/2605.21454" TargetMode="External"/><Relationship Id="rId34" Type="http://schemas.openxmlformats.org/officeDocument/2006/relationships/hyperlink" Target="https://github.com/AmayaGS/ProtoPathway" TargetMode="External"/><Relationship Id="rId35" Type="http://schemas.openxmlformats.org/officeDocument/2006/relationships/hyperlink" Target="https://www.sciencedirect.com/science/article/pii/S0957417426027314" TargetMode="External"/><Relationship Id="rId36" Type="http://schemas.openxmlformats.org/officeDocument/2006/relationships/hyperlink" Target="https://arxiv.org/html/2509.16900" TargetMode="External"/><Relationship Id="rId37" Type="http://schemas.openxmlformats.org/officeDocument/2006/relationships/image" Target="media/image12.png"/><Relationship Id="rId3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论文修订稿 已接入实验图 病例组织图待补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