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</w:rPr>
        <w:t>DCT v3.13 Ten Cancer Literature Comparison</w:t>
      </w:r>
    </w:p>
    <w:p>
      <w:pPr>
        <w:jc w:val="center"/>
      </w:pPr>
      <w:r>
        <w:rPr>
          <w:b/>
          <w:color w:val="D7191C"/>
        </w:rPr>
        <w:t>Best</w:t>
      </w:r>
      <w:r>
        <w:t xml:space="preserve">     </w:t>
      </w:r>
      <w:r>
        <w:rPr>
          <w:u w:val="single"/>
        </w:rPr>
        <w:t>Second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1134"/>
        <w:gridCol w:w="1093"/>
        <w:gridCol w:w="1093"/>
        <w:gridCol w:w="1093"/>
        <w:gridCol w:w="1093"/>
        <w:gridCol w:w="1093"/>
        <w:gridCol w:w="1093"/>
        <w:gridCol w:w="1093"/>
        <w:gridCol w:w="1093"/>
        <w:gridCol w:w="1093"/>
        <w:gridCol w:w="1093"/>
        <w:gridCol w:w="1093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Model (year)</w:t>
            </w:r>
          </w:p>
        </w:tc>
        <w:tc>
          <w:tcPr>
            <w:tcW w:type="dxa" w:w="1134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Input / FM</w:t>
            </w:r>
          </w:p>
        </w:tc>
        <w:tc>
          <w:tcPr>
            <w:tcW w:type="dxa" w:w="1093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BRCA</w:t>
            </w:r>
          </w:p>
        </w:tc>
        <w:tc>
          <w:tcPr>
            <w:tcW w:type="dxa" w:w="1093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7"/>
                <w:u w:val="none"/>
              </w:rPr>
              <w:t>COADREAD</w:t>
            </w:r>
          </w:p>
        </w:tc>
        <w:tc>
          <w:tcPr>
            <w:tcW w:type="dxa" w:w="1093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KIRC</w:t>
            </w:r>
          </w:p>
        </w:tc>
        <w:tc>
          <w:tcPr>
            <w:tcW w:type="dxa" w:w="1093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UCEC</w:t>
            </w:r>
          </w:p>
        </w:tc>
        <w:tc>
          <w:tcPr>
            <w:tcW w:type="dxa" w:w="1093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LUAD</w:t>
            </w:r>
          </w:p>
        </w:tc>
        <w:tc>
          <w:tcPr>
            <w:tcW w:type="dxa" w:w="1093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LUSC</w:t>
            </w:r>
          </w:p>
        </w:tc>
        <w:tc>
          <w:tcPr>
            <w:tcW w:type="dxa" w:w="1093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HNSC</w:t>
            </w:r>
          </w:p>
        </w:tc>
        <w:tc>
          <w:tcPr>
            <w:tcW w:type="dxa" w:w="1093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SKCM</w:t>
            </w:r>
          </w:p>
        </w:tc>
        <w:tc>
          <w:tcPr>
            <w:tcW w:type="dxa" w:w="1093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BLCA</w:t>
            </w:r>
          </w:p>
        </w:tc>
        <w:tc>
          <w:tcPr>
            <w:tcW w:type="dxa" w:w="1093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STAD</w:t>
            </w:r>
          </w:p>
        </w:tc>
        <w:tc>
          <w:tcPr>
            <w:tcW w:type="dxa" w:w="1093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Overall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MLP (1998*)</w:t>
            </w:r>
          </w:p>
        </w:tc>
        <w:tc>
          <w:tcPr>
            <w:tcW w:type="dxa" w:w="113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g./-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0.6440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0.6610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0.7500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0.7310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0.6340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0.5840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0.5840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0.6520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0.6770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0.6150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0.6530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SNN (2017)</w:t>
            </w:r>
          </w:p>
        </w:tc>
        <w:tc>
          <w:tcPr>
            <w:tcW w:type="dxa" w:w="113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g./-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0.6450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0.6640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0.7540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0.7530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0.6520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0.5480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0.5970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0.6730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0.6940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0.5850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0.6560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SNNTrans (2021*)</w:t>
            </w:r>
          </w:p>
        </w:tc>
        <w:tc>
          <w:tcPr>
            <w:tcW w:type="dxa" w:w="113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g./-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0.6570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0.7100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0.7470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0.7240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0.6480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0.5550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0.6050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single"/>
              </w:rPr>
              <w:t>0.6840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0.6990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0.5930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0.6620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ABMIL (2018)</w:t>
            </w:r>
          </w:p>
        </w:tc>
        <w:tc>
          <w:tcPr>
            <w:tcW w:type="dxa" w:w="1134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h./U1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0.6560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0.7150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0.7820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0.7790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0.6450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0.5930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D7191C"/>
                <w:sz w:val="18"/>
                <w:u w:val="none"/>
              </w:rPr>
              <w:t>0.6640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0.6680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0.6630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0.6420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0.6810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TransMIL (2021)</w:t>
            </w:r>
          </w:p>
        </w:tc>
        <w:tc>
          <w:tcPr>
            <w:tcW w:type="dxa" w:w="113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h./U1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0.6470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0.7230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0.7670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0.7590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0.6550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0.5820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0.6440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0.6320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0.6470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D7191C"/>
                <w:sz w:val="18"/>
                <w:u w:val="none"/>
              </w:rPr>
              <w:t>0.6560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0.6710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CLAM-SB (2021)</w:t>
            </w:r>
          </w:p>
        </w:tc>
        <w:tc>
          <w:tcPr>
            <w:tcW w:type="dxa" w:w="113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h./U1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0.6960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single"/>
              </w:rPr>
              <w:t>0.7420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0.7840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0.7570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0.6390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0.5840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0.6490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0.6430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0.6450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0.6370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0.6780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CLAM-MB (2021)</w:t>
            </w:r>
          </w:p>
        </w:tc>
        <w:tc>
          <w:tcPr>
            <w:tcW w:type="dxa" w:w="113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h./U1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0.7150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0.7210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0.7820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0.7880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0.6320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0.6080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0.6360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0.6400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0.6570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0.6410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0.6820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Porpoise (2022)</w:t>
            </w:r>
          </w:p>
        </w:tc>
        <w:tc>
          <w:tcPr>
            <w:tcW w:type="dxa" w:w="1134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g.+h./U1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0.6510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0.6990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0.7880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0.7880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0.6470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0.5970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0.5990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0.6820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0.6900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0.6190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0.6760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MCAT (2021)</w:t>
            </w:r>
          </w:p>
        </w:tc>
        <w:tc>
          <w:tcPr>
            <w:tcW w:type="dxa" w:w="113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g.+h./U1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0.7090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0.7370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0.7950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D7191C"/>
                <w:sz w:val="18"/>
                <w:u w:val="none"/>
              </w:rPr>
              <w:t>0.8020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0.6590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0.5830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0.6220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0.6670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0.6880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0.6390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0.6900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MOTCat (2023)</w:t>
            </w:r>
          </w:p>
        </w:tc>
        <w:tc>
          <w:tcPr>
            <w:tcW w:type="dxa" w:w="113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g.+h./U1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0.7170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single"/>
              </w:rPr>
              <w:t>0.7420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single"/>
              </w:rPr>
              <w:t>0.7990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0.7730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single"/>
              </w:rPr>
              <w:t>0.6630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0.5730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0.6270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D7191C"/>
                <w:sz w:val="18"/>
                <w:u w:val="none"/>
              </w:rPr>
              <w:t>0.6880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0.7000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0.6420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single"/>
              </w:rPr>
              <w:t>0.6920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CMTA (2023)</w:t>
            </w:r>
          </w:p>
        </w:tc>
        <w:tc>
          <w:tcPr>
            <w:tcW w:type="dxa" w:w="113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g.+h./U1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single"/>
              </w:rPr>
              <w:t>0.7310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0.7200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0.7940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0.7640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0.6620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0.5990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0.6190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0.6810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single"/>
              </w:rPr>
              <w:t>0.7020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0.6390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0.6910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SurvPath (2024)</w:t>
            </w:r>
          </w:p>
        </w:tc>
        <w:tc>
          <w:tcPr>
            <w:tcW w:type="dxa" w:w="113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g.+h./U1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0.7280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0.7270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0.7870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0.7510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0.6610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0.5770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0.6110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0.6660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0.6660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0.6470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0.6820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PIBD (2024)</w:t>
            </w:r>
          </w:p>
        </w:tc>
        <w:tc>
          <w:tcPr>
            <w:tcW w:type="dxa" w:w="113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g.+h./U1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0.6620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0.7160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0.7720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0.7830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0.6340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0.5750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0.6270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0.6490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0.6930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0.6440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0.6760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MMP (2024)</w:t>
            </w:r>
          </w:p>
        </w:tc>
        <w:tc>
          <w:tcPr>
            <w:tcW w:type="dxa" w:w="113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g.+h./U1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0.7140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0.6860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0.7700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0.7550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0.6340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0.5800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0.5800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0.6820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0.6860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0.6020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0.6690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LD-CVAE (2025)</w:t>
            </w:r>
          </w:p>
        </w:tc>
        <w:tc>
          <w:tcPr>
            <w:tcW w:type="dxa" w:w="113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g.+h./U1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0.7050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D7191C"/>
                <w:sz w:val="18"/>
                <w:u w:val="none"/>
              </w:rPr>
              <w:t>0.7530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0.7920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0.7880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0.6510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single"/>
              </w:rPr>
              <w:t>0.6200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0.6350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0.6820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0.6350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single"/>
              </w:rPr>
              <w:t>0.6530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single"/>
              </w:rPr>
              <w:t>0.6920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ILRA (2023)</w:t>
            </w:r>
          </w:p>
        </w:tc>
        <w:tc>
          <w:tcPr>
            <w:tcW w:type="dxa" w:w="1134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h./U2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0.6645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0.6147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0.7442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0.5262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0.5586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0.6608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  <w:tc>
          <w:tcPr>
            <w:tcW w:type="dxa" w:w="1093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R2T-MIL (2024)</w:t>
            </w:r>
          </w:p>
        </w:tc>
        <w:tc>
          <w:tcPr>
            <w:tcW w:type="dxa" w:w="113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h./U2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0.6619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0.6843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0.7253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0.6169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0.5376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0.6014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Patch-GCN (2021)</w:t>
            </w:r>
          </w:p>
        </w:tc>
        <w:tc>
          <w:tcPr>
            <w:tcW w:type="dxa" w:w="113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h./U2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0.7017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0.6675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0.7369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0.6019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0.5770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0.6164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OTSurv (2025)</w:t>
            </w:r>
          </w:p>
        </w:tc>
        <w:tc>
          <w:tcPr>
            <w:tcW w:type="dxa" w:w="113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h./U1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0.6210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0.7500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0.6380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0.6370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0.5650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TTA (2025)</w:t>
            </w:r>
          </w:p>
        </w:tc>
        <w:tc>
          <w:tcPr>
            <w:tcW w:type="dxa" w:w="113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g.+h./U1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0.7260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0.7780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0.6620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0.6130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STEPH (2026)</w:t>
            </w:r>
          </w:p>
        </w:tc>
        <w:tc>
          <w:tcPr>
            <w:tcW w:type="dxa" w:w="1134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h./U2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D7191C"/>
                <w:sz w:val="18"/>
                <w:u w:val="none"/>
              </w:rPr>
              <w:t>0.7408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0.7069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0.7830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0.6569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0.5948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0.6413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  <w:tc>
          <w:tcPr>
            <w:tcW w:type="dxa" w:w="1093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NR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7CF"/>
          </w:tcPr>
          <w:p>
            <w:pPr>
              <w:keepNext w:val="0"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DCT v3.13 (2026**)</w:t>
            </w:r>
          </w:p>
        </w:tc>
        <w:tc>
          <w:tcPr>
            <w:tcW w:type="dxa" w:w="1134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7CF"/>
          </w:tcPr>
          <w:p>
            <w:pPr>
              <w:keepNext w:val="0"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g.+h./U2</w:t>
            </w:r>
          </w:p>
        </w:tc>
        <w:tc>
          <w:tcPr>
            <w:tcW w:type="dxa" w:w="1093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7CF"/>
          </w:tcPr>
          <w:p>
            <w:pPr>
              <w:keepNext w:val="0"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0.6787</w:t>
            </w:r>
          </w:p>
        </w:tc>
        <w:tc>
          <w:tcPr>
            <w:tcW w:type="dxa" w:w="1093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7CF"/>
          </w:tcPr>
          <w:p>
            <w:pPr>
              <w:keepNext w:val="0"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0.7364</w:t>
            </w:r>
          </w:p>
        </w:tc>
        <w:tc>
          <w:tcPr>
            <w:tcW w:type="dxa" w:w="1093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7CF"/>
          </w:tcPr>
          <w:p>
            <w:pPr>
              <w:keepNext w:val="0"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D7191C"/>
                <w:sz w:val="18"/>
                <w:u w:val="none"/>
              </w:rPr>
              <w:t>0.8224</w:t>
            </w:r>
          </w:p>
        </w:tc>
        <w:tc>
          <w:tcPr>
            <w:tcW w:type="dxa" w:w="1093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7CF"/>
          </w:tcPr>
          <w:p>
            <w:pPr>
              <w:keepNext w:val="0"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single"/>
              </w:rPr>
              <w:t>0.7928</w:t>
            </w:r>
          </w:p>
        </w:tc>
        <w:tc>
          <w:tcPr>
            <w:tcW w:type="dxa" w:w="1093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7CF"/>
          </w:tcPr>
          <w:p>
            <w:pPr>
              <w:keepNext w:val="0"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D7191C"/>
                <w:sz w:val="18"/>
                <w:u w:val="none"/>
              </w:rPr>
              <w:t>0.6858</w:t>
            </w:r>
          </w:p>
        </w:tc>
        <w:tc>
          <w:tcPr>
            <w:tcW w:type="dxa" w:w="1093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7CF"/>
          </w:tcPr>
          <w:p>
            <w:pPr>
              <w:keepNext w:val="0"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D7191C"/>
                <w:sz w:val="18"/>
                <w:u w:val="none"/>
              </w:rPr>
              <w:t>0.6300</w:t>
            </w:r>
          </w:p>
        </w:tc>
        <w:tc>
          <w:tcPr>
            <w:tcW w:type="dxa" w:w="1093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7CF"/>
          </w:tcPr>
          <w:p>
            <w:pPr>
              <w:keepNext w:val="0"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single"/>
              </w:rPr>
              <w:t>0.6582</w:t>
            </w:r>
          </w:p>
        </w:tc>
        <w:tc>
          <w:tcPr>
            <w:tcW w:type="dxa" w:w="1093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7CF"/>
          </w:tcPr>
          <w:p>
            <w:pPr>
              <w:keepNext w:val="0"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0.6654</w:t>
            </w:r>
          </w:p>
        </w:tc>
        <w:tc>
          <w:tcPr>
            <w:tcW w:type="dxa" w:w="1093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7CF"/>
          </w:tcPr>
          <w:p>
            <w:pPr>
              <w:keepNext w:val="0"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D7191C"/>
                <w:sz w:val="18"/>
                <w:u w:val="none"/>
              </w:rPr>
              <w:t>0.7238</w:t>
            </w:r>
          </w:p>
        </w:tc>
        <w:tc>
          <w:tcPr>
            <w:tcW w:type="dxa" w:w="1093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7CF"/>
          </w:tcPr>
          <w:p>
            <w:pPr>
              <w:keepNext w:val="0"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0.6361</w:t>
            </w:r>
          </w:p>
        </w:tc>
        <w:tc>
          <w:tcPr>
            <w:tcW w:type="dxa" w:w="1093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shd w:fill="FFF7CF"/>
          </w:tcPr>
          <w:p>
            <w:pPr>
              <w:keepNext w:val="0"/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color w:val="D7191C"/>
                <w:sz w:val="18"/>
                <w:u w:val="none"/>
              </w:rPr>
              <w:t>0.7030</w:t>
            </w:r>
          </w:p>
        </w:tc>
      </w:tr>
    </w:tbl>
    <w:p>
      <w:pPr>
        <w:spacing w:after="60"/>
      </w:pPr>
      <w:r>
        <w:rPr>
          <w:sz w:val="17"/>
        </w:rPr>
        <w:t>Public DSS report values; inputs, splits and checkpoint selection differ. Ranks are descriptive, not matched results.</w:t>
      </w:r>
    </w:p>
    <w:p>
      <w:pPr>
        <w:spacing w:after="60"/>
      </w:pPr>
      <w:r>
        <w:rPr>
          <w:sz w:val="17"/>
        </w:rPr>
        <w:t>15 baseline rows: SlotSPE Table 1; all SlotSPE model rows excluded. Extra rows: TTA, OTSurv, STEPH S2.</w:t>
      </w:r>
    </w:p>
    <w:p>
      <w:pPr>
        <w:spacing w:after="60"/>
      </w:pPr>
      <w:r>
        <w:rPr>
          <w:sz w:val="17"/>
        </w:rPr>
        <w:t>U1 = UNI; U2 = UNI2-h; - = no histology input; g. = genomics; h. = histology. NR = no separate source cohort.</w:t>
      </w:r>
    </w:p>
    <w:p>
      <w:pPr>
        <w:spacing w:after="60"/>
      </w:pPr>
      <w:r>
        <w:rPr>
          <w:sz w:val="17"/>
        </w:rPr>
        <w:t>Red bold = highest available value; underline = second. Overall only for rows reporting the same ten cohorts.</w:t>
      </w:r>
    </w:p>
    <w:p>
      <w:pPr>
        <w:spacing w:after="60"/>
      </w:pPr>
      <w:r>
        <w:rPr>
          <w:sz w:val="17"/>
        </w:rPr>
        <w:t>Year: original publication; TTA: first preprint 2025 (scores from 2026 v2). *MLP: cited textbook; SNNTrans: component year.</w:t>
      </w:r>
    </w:p>
    <w:p>
      <w:pPr>
        <w:spacing w:after="60"/>
      </w:pPr>
      <w:r>
        <w:rPr>
          <w:sz w:val="17"/>
        </w:rPr>
        <w:t>**DCT 2026 = current work year, not publication. DCT is a five-fold best-validation summary; source folds/SD in JSON.</w:t>
      </w:r>
    </w:p>
    <w:sectPr w:rsidR="00FC693F" w:rsidRPr="0006063C" w:rsidSect="00034616">
      <w:pgSz w:w="16838" w:h="11906" w:orient="landscape"/>
      <w:pgMar w:top="737" w:right="680" w:bottom="73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color w:val="000000"/>
      <w:sz w:val="18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