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605F" w14:textId="6D93D9AD" w:rsidR="001A10AC" w:rsidRPr="009D4363" w:rsidRDefault="009D4363" w:rsidP="009D4363">
      <w:pPr>
        <w:ind w:left="360" w:hanging="360"/>
        <w:rPr>
          <w:b/>
          <w:bCs/>
          <w:lang w:val="es-CO"/>
        </w:rPr>
      </w:pPr>
      <w:proofErr w:type="spellStart"/>
      <w:r w:rsidRPr="009D4363">
        <w:rPr>
          <w:b/>
          <w:bCs/>
          <w:lang w:val="es-CO"/>
        </w:rPr>
        <w:t>Dataset</w:t>
      </w:r>
      <w:proofErr w:type="spellEnd"/>
      <w:r w:rsidRPr="009D4363">
        <w:rPr>
          <w:b/>
          <w:bCs/>
          <w:lang w:val="es-CO"/>
        </w:rPr>
        <w:t xml:space="preserve"> Utilizados.</w:t>
      </w:r>
    </w:p>
    <w:p w14:paraId="483285F9" w14:textId="7F569583" w:rsidR="001A10AC" w:rsidRDefault="001A10AC" w:rsidP="001A10AC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categórico: </w:t>
      </w:r>
      <w:hyperlink r:id="rId5" w:history="1">
        <w:r w:rsidRPr="00223A4E">
          <w:rPr>
            <w:rStyle w:val="Hyperlink"/>
            <w:lang w:val="es-CO"/>
          </w:rPr>
          <w:t>https:/</w:t>
        </w:r>
        <w:r w:rsidRPr="00223A4E">
          <w:rPr>
            <w:rStyle w:val="Hyperlink"/>
            <w:lang w:val="es-CO"/>
          </w:rPr>
          <w:t>/</w:t>
        </w:r>
        <w:r w:rsidRPr="00223A4E">
          <w:rPr>
            <w:rStyle w:val="Hyperlink"/>
            <w:lang w:val="es-CO"/>
          </w:rPr>
          <w:t>archive.ics.uci.edu/dataset/936/national+poll+on+healthy+aging+(npha)</w:t>
        </w:r>
      </w:hyperlink>
      <w:r>
        <w:rPr>
          <w:lang w:val="es-CO"/>
        </w:rPr>
        <w:t xml:space="preserve"> </w:t>
      </w:r>
    </w:p>
    <w:p w14:paraId="518986ED" w14:textId="7EF7BEA3" w:rsidR="001A10AC" w:rsidRPr="001A10AC" w:rsidRDefault="001A10AC" w:rsidP="001A10AC">
      <w:pPr>
        <w:pStyle w:val="ListParagraph"/>
        <w:numPr>
          <w:ilvl w:val="0"/>
          <w:numId w:val="1"/>
        </w:numPr>
      </w:pPr>
      <w:r w:rsidRPr="001A10AC">
        <w:t xml:space="preserve">Dataset con Missing Values: </w:t>
      </w:r>
      <w:hyperlink r:id="rId6" w:history="1">
        <w:r w:rsidRPr="00223A4E">
          <w:rPr>
            <w:rStyle w:val="Hyperlink"/>
          </w:rPr>
          <w:t>https://archive.ics.uci.edu/dataset/105/congressional+voting+records</w:t>
        </w:r>
      </w:hyperlink>
      <w:r>
        <w:t xml:space="preserve"> </w:t>
      </w:r>
    </w:p>
    <w:p w14:paraId="0C5F2247" w14:textId="77777777" w:rsidR="00CC3E62" w:rsidRDefault="001A10AC" w:rsidP="001A10AC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numérico (punto 6): </w:t>
      </w:r>
      <w:hyperlink r:id="rId7" w:history="1">
        <w:r w:rsidRPr="00223A4E">
          <w:rPr>
            <w:rStyle w:val="Hyperlink"/>
            <w:lang w:val="es-CO"/>
          </w:rPr>
          <w:t>https://catalog.data.gov/dataset/water-quality-data-41c5e</w:t>
        </w:r>
      </w:hyperlink>
      <w:r>
        <w:rPr>
          <w:lang w:val="es-CO"/>
        </w:rPr>
        <w:t xml:space="preserve"> </w:t>
      </w:r>
    </w:p>
    <w:p w14:paraId="39058439" w14:textId="77777777" w:rsidR="00CC3E62" w:rsidRDefault="00CC3E62" w:rsidP="00CC3E62">
      <w:pPr>
        <w:pStyle w:val="ListParagraph"/>
        <w:rPr>
          <w:lang w:val="es-CO"/>
        </w:rPr>
      </w:pPr>
    </w:p>
    <w:p w14:paraId="7EAB05DC" w14:textId="1A887F2F" w:rsidR="001A10AC" w:rsidRPr="009E39B7" w:rsidRDefault="001A10AC" w:rsidP="009E39B7">
      <w:pPr>
        <w:pStyle w:val="ListParagraph"/>
        <w:rPr>
          <w:lang w:val="es-CO"/>
        </w:rPr>
      </w:pPr>
      <w:r>
        <w:rPr>
          <w:lang w:val="es-CO"/>
        </w:rPr>
        <w:t xml:space="preserve">(Notebook limpieza de estos datos </w:t>
      </w:r>
      <w:hyperlink r:id="rId8" w:history="1">
        <w:r w:rsidR="009E39B7" w:rsidRPr="00692149">
          <w:rPr>
            <w:rStyle w:val="Hyperlink"/>
            <w:lang w:val="es-CO"/>
          </w:rPr>
          <w:t>https://deepnote.com/workspace/Dani-e9d57001-4e9b-435d-9a2a-2cd1539c64d5/project/Limpieza-Datos-KD-IAII-405e11bf-4ccd-4c99-bb69-c9e285b9c874/notebook/Notebook-1-90c7b507f7374b89a690aa6d69c4fccd?utm_source=share-modal&amp;utm_medium=product-shared-content&amp;utm_campaign=notebook&amp;utm_content=405e11bf-4ccd-4c99-bb69-c9e285b9c874</w:t>
        </w:r>
      </w:hyperlink>
      <w:r w:rsidR="009E39B7">
        <w:rPr>
          <w:lang w:val="es-CO"/>
        </w:rPr>
        <w:t xml:space="preserve"> </w:t>
      </w:r>
      <w:r w:rsidRPr="009E39B7">
        <w:rPr>
          <w:lang w:val="es-CO"/>
        </w:rPr>
        <w:t xml:space="preserve"> )</w:t>
      </w:r>
    </w:p>
    <w:p w14:paraId="137765EE" w14:textId="77777777" w:rsidR="001A10AC" w:rsidRDefault="001A10AC" w:rsidP="001A10AC">
      <w:pPr>
        <w:rPr>
          <w:lang w:val="es-CO"/>
        </w:rPr>
      </w:pPr>
    </w:p>
    <w:p w14:paraId="53C59FD6" w14:textId="34C1C9A0" w:rsidR="009D4363" w:rsidRDefault="009D4363" w:rsidP="001A10AC">
      <w:pPr>
        <w:rPr>
          <w:b/>
          <w:bCs/>
          <w:lang w:val="es-CO"/>
        </w:rPr>
      </w:pPr>
      <w:r w:rsidRPr="009D4363">
        <w:rPr>
          <w:b/>
          <w:bCs/>
          <w:lang w:val="es-CO"/>
        </w:rPr>
        <w:t>Análisis arboles obtenidos.</w:t>
      </w:r>
    </w:p>
    <w:p w14:paraId="076137BE" w14:textId="057DD92F" w:rsidR="009D4363" w:rsidRPr="009D4363" w:rsidRDefault="009D4363" w:rsidP="001A10AC">
      <w:pPr>
        <w:rPr>
          <w:lang w:val="es-CO"/>
        </w:rPr>
      </w:pPr>
      <w:r w:rsidRPr="009D4363">
        <w:rPr>
          <w:lang w:val="es-CO"/>
        </w:rPr>
        <w:t xml:space="preserve">A </w:t>
      </w:r>
      <w:r w:rsidR="00CC3E62" w:rsidRPr="009D4363">
        <w:rPr>
          <w:lang w:val="es-CO"/>
        </w:rPr>
        <w:t>continuación,</w:t>
      </w:r>
      <w:r w:rsidRPr="009D4363">
        <w:rPr>
          <w:lang w:val="es-CO"/>
        </w:rPr>
        <w:t xml:space="preserve"> se muestran el numero de nodos y hojas que se tienen en los arboles resultantes de cada data set.</w:t>
      </w:r>
    </w:p>
    <w:p w14:paraId="7F0825B6" w14:textId="3D1FB4BC" w:rsidR="009D4363" w:rsidRDefault="009D4363" w:rsidP="009D4363">
      <w:pPr>
        <w:pStyle w:val="ListParagraph"/>
        <w:numPr>
          <w:ilvl w:val="0"/>
          <w:numId w:val="3"/>
        </w:numPr>
        <w:rPr>
          <w:lang w:val="es-CO"/>
        </w:rPr>
      </w:pPr>
      <w:r w:rsidRPr="009D4363">
        <w:rPr>
          <w:lang w:val="es-CO"/>
        </w:rPr>
        <w:drawing>
          <wp:inline distT="0" distB="0" distL="0" distR="0" wp14:anchorId="046556CF" wp14:editId="749AFD11">
            <wp:extent cx="2019582" cy="533474"/>
            <wp:effectExtent l="0" t="0" r="0" b="0"/>
            <wp:docPr id="92667975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79756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D1F8" w14:textId="361E358A" w:rsidR="009D4363" w:rsidRDefault="009D4363" w:rsidP="009D4363">
      <w:pPr>
        <w:pStyle w:val="ListParagraph"/>
        <w:numPr>
          <w:ilvl w:val="0"/>
          <w:numId w:val="3"/>
        </w:numPr>
        <w:rPr>
          <w:lang w:val="es-CO"/>
        </w:rPr>
      </w:pPr>
      <w:r w:rsidRPr="009D4363">
        <w:rPr>
          <w:lang w:val="es-CO"/>
        </w:rPr>
        <w:drawing>
          <wp:inline distT="0" distB="0" distL="0" distR="0" wp14:anchorId="3FF8B38B" wp14:editId="58A6E0A6">
            <wp:extent cx="2029108" cy="504895"/>
            <wp:effectExtent l="0" t="0" r="9525" b="9525"/>
            <wp:docPr id="1850883666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83666" name="Picture 1" descr="A white box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F572" w14:textId="1466ED73" w:rsidR="009D4363" w:rsidRDefault="009D4363" w:rsidP="009D4363">
      <w:pPr>
        <w:pStyle w:val="ListParagraph"/>
        <w:numPr>
          <w:ilvl w:val="0"/>
          <w:numId w:val="3"/>
        </w:numPr>
        <w:rPr>
          <w:lang w:val="es-CO"/>
        </w:rPr>
      </w:pPr>
      <w:r w:rsidRPr="009D4363">
        <w:rPr>
          <w:lang w:val="es-CO"/>
        </w:rPr>
        <w:drawing>
          <wp:inline distT="0" distB="0" distL="0" distR="0" wp14:anchorId="4BB019B6" wp14:editId="04B86570">
            <wp:extent cx="2038635" cy="543001"/>
            <wp:effectExtent l="0" t="0" r="0" b="9525"/>
            <wp:docPr id="18568780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7803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CBDA" w14:textId="77777777" w:rsidR="009D4363" w:rsidRDefault="009D4363" w:rsidP="009D4363">
      <w:pPr>
        <w:rPr>
          <w:lang w:val="es-CO"/>
        </w:rPr>
      </w:pPr>
    </w:p>
    <w:p w14:paraId="2C5BF591" w14:textId="1C25AFC0" w:rsidR="009D4363" w:rsidRPr="009D4363" w:rsidRDefault="009D4363" w:rsidP="009D4363">
      <w:pPr>
        <w:rPr>
          <w:lang w:val="es-CO"/>
        </w:rPr>
      </w:pPr>
      <w:r>
        <w:rPr>
          <w:lang w:val="es-CO"/>
        </w:rPr>
        <w:t xml:space="preserve">Vemos que el árbol mas grande fue el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a). Y el mas simple o pequeño, fue el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b). </w:t>
      </w:r>
      <w:proofErr w:type="gramStart"/>
      <w:r>
        <w:rPr>
          <w:lang w:val="es-CO"/>
        </w:rPr>
        <w:t>Pues</w:t>
      </w:r>
      <w:proofErr w:type="gramEnd"/>
      <w:r>
        <w:rPr>
          <w:lang w:val="es-CO"/>
        </w:rPr>
        <w:t xml:space="preserve"> aunque ambos tienen todos sus datos categóricos, las categorías o columnas de a) pueden tomar varios valores, por </w:t>
      </w:r>
      <w:r w:rsidR="00CC3E62">
        <w:rPr>
          <w:lang w:val="es-CO"/>
        </w:rPr>
        <w:t>ejemplo,</w:t>
      </w:r>
      <w:r>
        <w:rPr>
          <w:lang w:val="es-CO"/>
        </w:rPr>
        <w:t xml:space="preserve"> </w:t>
      </w:r>
      <w:proofErr w:type="spellStart"/>
      <w:r w:rsidRPr="009D4363">
        <w:rPr>
          <w:lang w:val="es-CO"/>
        </w:rPr>
        <w:t>Physical_Health</w:t>
      </w:r>
      <w:proofErr w:type="spellEnd"/>
      <w:r>
        <w:rPr>
          <w:lang w:val="es-CO"/>
        </w:rPr>
        <w:t xml:space="preserve">, puede tomar valores del 1 al 5. Mientras que las categorías de </w:t>
      </w:r>
      <w:r w:rsidR="00CC3E62">
        <w:rPr>
          <w:lang w:val="es-CO"/>
        </w:rPr>
        <w:t>b) son binarias (y, n).</w:t>
      </w:r>
    </w:p>
    <w:p w14:paraId="5F543CBC" w14:textId="6FD8EBEE" w:rsidR="009D4363" w:rsidRPr="00CC3E62" w:rsidRDefault="009D4363" w:rsidP="001A10AC">
      <w:pPr>
        <w:rPr>
          <w:b/>
          <w:bCs/>
          <w:lang w:val="es-CO"/>
        </w:rPr>
      </w:pPr>
      <w:r w:rsidRPr="00CC3E62">
        <w:rPr>
          <w:b/>
          <w:bCs/>
          <w:lang w:val="es-CO"/>
        </w:rPr>
        <w:t>Proporciones de acierto.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3E62" w14:paraId="2A41A8C2" w14:textId="77777777" w:rsidTr="00CC3E62">
        <w:tc>
          <w:tcPr>
            <w:tcW w:w="2337" w:type="dxa"/>
          </w:tcPr>
          <w:p w14:paraId="6BB13D45" w14:textId="01E0ABD3" w:rsidR="00CC3E62" w:rsidRPr="00CC3E62" w:rsidRDefault="00CC3E62" w:rsidP="00CC3E62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CC3E62">
              <w:rPr>
                <w:b/>
                <w:bCs/>
                <w:lang w:val="es-CO"/>
              </w:rPr>
              <w:t>Dataset</w:t>
            </w:r>
            <w:proofErr w:type="spellEnd"/>
          </w:p>
        </w:tc>
        <w:tc>
          <w:tcPr>
            <w:tcW w:w="2337" w:type="dxa"/>
          </w:tcPr>
          <w:p w14:paraId="09887E06" w14:textId="302A9DCA" w:rsidR="00CC3E62" w:rsidRPr="00CC3E62" w:rsidRDefault="00CC3E62" w:rsidP="00CC3E62">
            <w:pPr>
              <w:jc w:val="center"/>
              <w:rPr>
                <w:b/>
                <w:bCs/>
                <w:lang w:val="es-CO"/>
              </w:rPr>
            </w:pPr>
            <w:r w:rsidRPr="00CC3E62">
              <w:rPr>
                <w:b/>
                <w:bCs/>
                <w:lang w:val="es-CO"/>
              </w:rPr>
              <w:t>Reescritura</w:t>
            </w:r>
          </w:p>
        </w:tc>
        <w:tc>
          <w:tcPr>
            <w:tcW w:w="2338" w:type="dxa"/>
          </w:tcPr>
          <w:p w14:paraId="54576CB1" w14:textId="2E7B288E" w:rsidR="00CC3E62" w:rsidRPr="00CC3E62" w:rsidRDefault="00CC3E62" w:rsidP="00CC3E62">
            <w:pPr>
              <w:jc w:val="center"/>
              <w:rPr>
                <w:b/>
                <w:bCs/>
                <w:lang w:val="es-CO"/>
              </w:rPr>
            </w:pPr>
            <w:r w:rsidRPr="00CC3E62">
              <w:rPr>
                <w:b/>
                <w:bCs/>
                <w:lang w:val="es-CO"/>
              </w:rPr>
              <w:t xml:space="preserve">Cross </w:t>
            </w:r>
            <w:proofErr w:type="spellStart"/>
            <w:r w:rsidRPr="00CC3E62">
              <w:rPr>
                <w:b/>
                <w:bCs/>
                <w:lang w:val="es-CO"/>
              </w:rPr>
              <w:t>validation</w:t>
            </w:r>
            <w:proofErr w:type="spellEnd"/>
          </w:p>
        </w:tc>
        <w:tc>
          <w:tcPr>
            <w:tcW w:w="2338" w:type="dxa"/>
          </w:tcPr>
          <w:p w14:paraId="38F1AB33" w14:textId="062FF3A8" w:rsidR="00CC3E62" w:rsidRPr="00CC3E62" w:rsidRDefault="00CC3E62" w:rsidP="00CC3E62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CC3E62">
              <w:rPr>
                <w:b/>
                <w:bCs/>
                <w:lang w:val="es-CO"/>
              </w:rPr>
              <w:t>Leave</w:t>
            </w:r>
            <w:proofErr w:type="spellEnd"/>
            <w:r w:rsidRPr="00CC3E62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C3E62">
              <w:rPr>
                <w:b/>
                <w:bCs/>
                <w:lang w:val="es-CO"/>
              </w:rPr>
              <w:t>one</w:t>
            </w:r>
            <w:proofErr w:type="spellEnd"/>
            <w:r w:rsidRPr="00CC3E62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C3E62">
              <w:rPr>
                <w:b/>
                <w:bCs/>
                <w:lang w:val="es-CO"/>
              </w:rPr>
              <w:t>Out</w:t>
            </w:r>
            <w:proofErr w:type="spellEnd"/>
          </w:p>
        </w:tc>
      </w:tr>
      <w:tr w:rsidR="00807762" w14:paraId="7C4766E1" w14:textId="77777777" w:rsidTr="00CC3E62">
        <w:tc>
          <w:tcPr>
            <w:tcW w:w="2337" w:type="dxa"/>
          </w:tcPr>
          <w:p w14:paraId="33F3DD2A" w14:textId="59387D12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a)</w:t>
            </w:r>
          </w:p>
        </w:tc>
        <w:tc>
          <w:tcPr>
            <w:tcW w:w="2337" w:type="dxa"/>
          </w:tcPr>
          <w:p w14:paraId="2D786110" w14:textId="59CA492A" w:rsidR="00807762" w:rsidRPr="00CC3E62" w:rsidRDefault="00807762" w:rsidP="00807762">
            <w:pPr>
              <w:jc w:val="center"/>
              <w:rPr>
                <w:b/>
                <w:bCs/>
                <w:lang w:val="es-CO"/>
              </w:rPr>
            </w:pPr>
            <w:r w:rsidRPr="00CC3E62">
              <w:rPr>
                <w:b/>
                <w:bCs/>
                <w:lang w:val="es-CO"/>
              </w:rPr>
              <w:t>0.908</w:t>
            </w:r>
          </w:p>
        </w:tc>
        <w:tc>
          <w:tcPr>
            <w:tcW w:w="2338" w:type="dxa"/>
          </w:tcPr>
          <w:p w14:paraId="7E305D41" w14:textId="1BBBFEE6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0.509</w:t>
            </w:r>
          </w:p>
        </w:tc>
        <w:tc>
          <w:tcPr>
            <w:tcW w:w="2338" w:type="dxa"/>
          </w:tcPr>
          <w:p w14:paraId="20767A88" w14:textId="0E31B767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0.499</w:t>
            </w:r>
          </w:p>
        </w:tc>
      </w:tr>
      <w:tr w:rsidR="00807762" w14:paraId="3138CCB6" w14:textId="77777777" w:rsidTr="00CC3E62">
        <w:tc>
          <w:tcPr>
            <w:tcW w:w="2337" w:type="dxa"/>
          </w:tcPr>
          <w:p w14:paraId="5A42BDC6" w14:textId="06C3F283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b)</w:t>
            </w:r>
          </w:p>
        </w:tc>
        <w:tc>
          <w:tcPr>
            <w:tcW w:w="2337" w:type="dxa"/>
          </w:tcPr>
          <w:p w14:paraId="4D772E78" w14:textId="0641D60C" w:rsidR="00807762" w:rsidRPr="00CC3E62" w:rsidRDefault="00807762" w:rsidP="00807762">
            <w:pPr>
              <w:jc w:val="center"/>
              <w:rPr>
                <w:b/>
                <w:bCs/>
                <w:lang w:val="es-CO"/>
              </w:rPr>
            </w:pPr>
            <w:r w:rsidRPr="00CC3E62">
              <w:rPr>
                <w:b/>
                <w:bCs/>
                <w:lang w:val="es-CO"/>
              </w:rPr>
              <w:t>0.988</w:t>
            </w:r>
          </w:p>
        </w:tc>
        <w:tc>
          <w:tcPr>
            <w:tcW w:w="2338" w:type="dxa"/>
          </w:tcPr>
          <w:p w14:paraId="703E8DC1" w14:textId="26BD50CB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0.960</w:t>
            </w:r>
          </w:p>
        </w:tc>
        <w:tc>
          <w:tcPr>
            <w:tcW w:w="2338" w:type="dxa"/>
          </w:tcPr>
          <w:p w14:paraId="2AD10EFD" w14:textId="47D14BB2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0.960</w:t>
            </w:r>
          </w:p>
        </w:tc>
      </w:tr>
      <w:tr w:rsidR="00807762" w14:paraId="06C368CD" w14:textId="77777777" w:rsidTr="00CC3E62">
        <w:tc>
          <w:tcPr>
            <w:tcW w:w="2337" w:type="dxa"/>
          </w:tcPr>
          <w:p w14:paraId="4A31C9A3" w14:textId="5435389C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c)</w:t>
            </w:r>
          </w:p>
        </w:tc>
        <w:tc>
          <w:tcPr>
            <w:tcW w:w="2337" w:type="dxa"/>
          </w:tcPr>
          <w:p w14:paraId="73115831" w14:textId="3DD0863D" w:rsidR="00807762" w:rsidRPr="00CC3E62" w:rsidRDefault="00807762" w:rsidP="00807762">
            <w:pPr>
              <w:jc w:val="center"/>
              <w:rPr>
                <w:b/>
                <w:bCs/>
                <w:lang w:val="es-CO"/>
              </w:rPr>
            </w:pPr>
            <w:r w:rsidRPr="00CC3E62">
              <w:rPr>
                <w:b/>
                <w:bCs/>
                <w:lang w:val="es-CO"/>
              </w:rPr>
              <w:t>0.995</w:t>
            </w:r>
          </w:p>
        </w:tc>
        <w:tc>
          <w:tcPr>
            <w:tcW w:w="2338" w:type="dxa"/>
          </w:tcPr>
          <w:p w14:paraId="7B7131CE" w14:textId="03BAAA5B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0.799</w:t>
            </w:r>
          </w:p>
        </w:tc>
        <w:tc>
          <w:tcPr>
            <w:tcW w:w="2338" w:type="dxa"/>
          </w:tcPr>
          <w:p w14:paraId="40909C27" w14:textId="2B261085" w:rsidR="00807762" w:rsidRDefault="00807762" w:rsidP="008077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0.827</w:t>
            </w:r>
          </w:p>
        </w:tc>
      </w:tr>
    </w:tbl>
    <w:p w14:paraId="749A8AF1" w14:textId="01706204" w:rsidR="001A10AC" w:rsidRPr="00807762" w:rsidRDefault="00807762" w:rsidP="001A10AC">
      <w:pPr>
        <w:rPr>
          <w:b/>
          <w:bCs/>
          <w:lang w:val="es-CO"/>
        </w:rPr>
      </w:pPr>
      <w:r w:rsidRPr="00807762">
        <w:rPr>
          <w:b/>
          <w:bCs/>
          <w:lang w:val="es-CO"/>
        </w:rPr>
        <w:t>Comparación Árbol KD.</w:t>
      </w:r>
    </w:p>
    <w:p w14:paraId="3EC1CD3A" w14:textId="508346EA" w:rsidR="00807762" w:rsidRDefault="00807762" w:rsidP="001A10AC">
      <w:pPr>
        <w:rPr>
          <w:lang w:val="es-CO"/>
        </w:rPr>
      </w:pPr>
      <w:r>
        <w:rPr>
          <w:lang w:val="es-CO"/>
        </w:rPr>
        <w:t>A continuación, tenemos el número de nodos y hojas del árbol KD. Así como su proporción de acierto en reescritura.</w:t>
      </w:r>
    </w:p>
    <w:p w14:paraId="1FC46B8F" w14:textId="3449A2EE" w:rsidR="00807762" w:rsidRDefault="00807762" w:rsidP="00807762">
      <w:pPr>
        <w:ind w:left="720"/>
        <w:rPr>
          <w:lang w:val="es-CO"/>
        </w:rPr>
      </w:pPr>
      <w:r>
        <w:rPr>
          <w:noProof/>
        </w:rPr>
        <w:drawing>
          <wp:inline distT="0" distB="0" distL="0" distR="0" wp14:anchorId="36F96B3F" wp14:editId="25639652">
            <wp:extent cx="3313215" cy="1441430"/>
            <wp:effectExtent l="0" t="0" r="1905" b="6985"/>
            <wp:docPr id="8813796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9649" name="Picture 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/>
                    <a:stretch/>
                  </pic:blipFill>
                  <pic:spPr bwMode="auto">
                    <a:xfrm>
                      <a:off x="0" y="0"/>
                      <a:ext cx="3316848" cy="144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601A" w14:textId="41D37E5C" w:rsidR="00807762" w:rsidRDefault="00807762" w:rsidP="00807762">
      <w:pPr>
        <w:ind w:left="720"/>
        <w:rPr>
          <w:lang w:val="es-CO"/>
        </w:rPr>
      </w:pPr>
      <w:r>
        <w:rPr>
          <w:noProof/>
        </w:rPr>
        <w:drawing>
          <wp:inline distT="0" distB="0" distL="0" distR="0" wp14:anchorId="3ECD76BC" wp14:editId="6AC9D392">
            <wp:extent cx="2624446" cy="2411911"/>
            <wp:effectExtent l="0" t="0" r="5080" b="7620"/>
            <wp:docPr id="353887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10" cy="24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4492" w14:textId="77777777" w:rsidR="00807762" w:rsidRDefault="00807762" w:rsidP="00807762">
      <w:pPr>
        <w:ind w:left="720"/>
        <w:rPr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65"/>
        <w:gridCol w:w="2851"/>
      </w:tblGrid>
      <w:tr w:rsidR="00807762" w14:paraId="2ABA2AEC" w14:textId="77777777" w:rsidTr="00807762">
        <w:tc>
          <w:tcPr>
            <w:tcW w:w="3116" w:type="dxa"/>
          </w:tcPr>
          <w:p w14:paraId="14619AF2" w14:textId="6CEEAEC1" w:rsidR="00807762" w:rsidRPr="00807762" w:rsidRDefault="00807762" w:rsidP="00807762">
            <w:pPr>
              <w:rPr>
                <w:b/>
                <w:bCs/>
                <w:lang w:val="es-CO"/>
              </w:rPr>
            </w:pPr>
            <w:r w:rsidRPr="00807762">
              <w:rPr>
                <w:b/>
                <w:bCs/>
                <w:lang w:val="es-CO"/>
              </w:rPr>
              <w:t>Métrica</w:t>
            </w:r>
          </w:p>
        </w:tc>
        <w:tc>
          <w:tcPr>
            <w:tcW w:w="3117" w:type="dxa"/>
          </w:tcPr>
          <w:p w14:paraId="7F81EE8E" w14:textId="4E36240C" w:rsidR="00807762" w:rsidRPr="00807762" w:rsidRDefault="00807762" w:rsidP="00807762">
            <w:pPr>
              <w:rPr>
                <w:b/>
                <w:bCs/>
                <w:lang w:val="es-CO"/>
              </w:rPr>
            </w:pPr>
            <w:r w:rsidRPr="00807762">
              <w:rPr>
                <w:b/>
                <w:bCs/>
                <w:lang w:val="es-CO"/>
              </w:rPr>
              <w:t>Árbol KD</w:t>
            </w:r>
          </w:p>
        </w:tc>
        <w:tc>
          <w:tcPr>
            <w:tcW w:w="3117" w:type="dxa"/>
          </w:tcPr>
          <w:p w14:paraId="36A9CA14" w14:textId="31B5D181" w:rsidR="00807762" w:rsidRPr="00807762" w:rsidRDefault="00807762" w:rsidP="00807762">
            <w:pPr>
              <w:rPr>
                <w:b/>
                <w:bCs/>
                <w:lang w:val="es-CO"/>
              </w:rPr>
            </w:pPr>
            <w:r w:rsidRPr="00807762">
              <w:rPr>
                <w:b/>
                <w:bCs/>
                <w:lang w:val="es-CO"/>
              </w:rPr>
              <w:t>Árbol J48</w:t>
            </w:r>
          </w:p>
        </w:tc>
      </w:tr>
      <w:tr w:rsidR="00807762" w14:paraId="5150B509" w14:textId="77777777" w:rsidTr="00807762">
        <w:tc>
          <w:tcPr>
            <w:tcW w:w="3116" w:type="dxa"/>
          </w:tcPr>
          <w:p w14:paraId="430D686A" w14:textId="2AB04189" w:rsidR="00807762" w:rsidRDefault="00807762" w:rsidP="00807762">
            <w:pPr>
              <w:rPr>
                <w:lang w:val="es-CO"/>
              </w:rPr>
            </w:pPr>
            <w:r>
              <w:rPr>
                <w:lang w:val="es-CO"/>
              </w:rPr>
              <w:t>Proporción de acierto reescritura</w:t>
            </w:r>
          </w:p>
        </w:tc>
        <w:tc>
          <w:tcPr>
            <w:tcW w:w="3117" w:type="dxa"/>
          </w:tcPr>
          <w:p w14:paraId="746B8BB0" w14:textId="17BC5272" w:rsidR="00807762" w:rsidRDefault="00807762" w:rsidP="00807762">
            <w:pPr>
              <w:rPr>
                <w:lang w:val="es-CO"/>
              </w:rPr>
            </w:pPr>
            <w:r>
              <w:rPr>
                <w:lang w:val="es-CO"/>
              </w:rPr>
              <w:t>0.7583</w:t>
            </w:r>
          </w:p>
        </w:tc>
        <w:tc>
          <w:tcPr>
            <w:tcW w:w="3117" w:type="dxa"/>
          </w:tcPr>
          <w:p w14:paraId="5CDACF54" w14:textId="74C2FB51" w:rsidR="00807762" w:rsidRPr="00807762" w:rsidRDefault="00807762" w:rsidP="00807762">
            <w:pPr>
              <w:rPr>
                <w:b/>
                <w:bCs/>
                <w:lang w:val="es-CO"/>
              </w:rPr>
            </w:pPr>
            <w:r w:rsidRPr="00807762">
              <w:rPr>
                <w:b/>
                <w:bCs/>
                <w:lang w:val="es-CO"/>
              </w:rPr>
              <w:t>0.995</w:t>
            </w:r>
          </w:p>
        </w:tc>
      </w:tr>
      <w:tr w:rsidR="00807762" w14:paraId="3209D413" w14:textId="77777777" w:rsidTr="00807762">
        <w:tc>
          <w:tcPr>
            <w:tcW w:w="3116" w:type="dxa"/>
          </w:tcPr>
          <w:p w14:paraId="203E0D36" w14:textId="5E3B40CE" w:rsidR="00807762" w:rsidRDefault="00807762" w:rsidP="00807762">
            <w:pPr>
              <w:rPr>
                <w:lang w:val="es-CO"/>
              </w:rPr>
            </w:pPr>
            <w:r>
              <w:rPr>
                <w:lang w:val="es-CO"/>
              </w:rPr>
              <w:t>Nodos totales</w:t>
            </w:r>
          </w:p>
        </w:tc>
        <w:tc>
          <w:tcPr>
            <w:tcW w:w="3117" w:type="dxa"/>
          </w:tcPr>
          <w:p w14:paraId="078D9C86" w14:textId="6E8FBCD3" w:rsidR="00807762" w:rsidRPr="00807762" w:rsidRDefault="00807762" w:rsidP="00807762">
            <w:pPr>
              <w:rPr>
                <w:b/>
                <w:bCs/>
                <w:lang w:val="es-CO"/>
              </w:rPr>
            </w:pPr>
            <w:r w:rsidRPr="00807762">
              <w:rPr>
                <w:b/>
                <w:bCs/>
                <w:lang w:val="es-CO"/>
              </w:rPr>
              <w:t>151</w:t>
            </w:r>
          </w:p>
        </w:tc>
        <w:tc>
          <w:tcPr>
            <w:tcW w:w="3117" w:type="dxa"/>
          </w:tcPr>
          <w:p w14:paraId="5EBA743B" w14:textId="187C5195" w:rsidR="00807762" w:rsidRDefault="00807762" w:rsidP="00807762">
            <w:pPr>
              <w:rPr>
                <w:lang w:val="es-CO"/>
              </w:rPr>
            </w:pPr>
            <w:r>
              <w:rPr>
                <w:lang w:val="es-CO"/>
              </w:rPr>
              <w:t>121</w:t>
            </w:r>
          </w:p>
        </w:tc>
      </w:tr>
    </w:tbl>
    <w:p w14:paraId="5352083B" w14:textId="77777777" w:rsidR="00807762" w:rsidRDefault="00807762" w:rsidP="001A10AC">
      <w:pPr>
        <w:rPr>
          <w:lang w:val="es-CO"/>
        </w:rPr>
      </w:pPr>
    </w:p>
    <w:p w14:paraId="67884D25" w14:textId="77777777" w:rsidR="00CC3E62" w:rsidRDefault="00CC3E62" w:rsidP="001A10AC">
      <w:pPr>
        <w:rPr>
          <w:lang w:val="es-CO"/>
        </w:rPr>
      </w:pPr>
    </w:p>
    <w:p w14:paraId="0E174A7F" w14:textId="42D82E27" w:rsidR="009D4363" w:rsidRPr="009D4363" w:rsidRDefault="009D4363" w:rsidP="001A10AC">
      <w:pPr>
        <w:rPr>
          <w:b/>
          <w:bCs/>
          <w:lang w:val="es-CO"/>
        </w:rPr>
      </w:pPr>
      <w:r w:rsidRPr="009D4363">
        <w:rPr>
          <w:b/>
          <w:bCs/>
          <w:lang w:val="es-CO"/>
        </w:rPr>
        <w:t>Conclusiones.</w:t>
      </w:r>
    </w:p>
    <w:p w14:paraId="134C1FF4" w14:textId="77777777" w:rsidR="00B877C0" w:rsidRDefault="001A10AC" w:rsidP="00B877C0">
      <w:pPr>
        <w:pStyle w:val="ListParagraph"/>
        <w:numPr>
          <w:ilvl w:val="0"/>
          <w:numId w:val="2"/>
        </w:numPr>
        <w:rPr>
          <w:lang w:val="es-CO"/>
        </w:rPr>
      </w:pPr>
      <w:r w:rsidRPr="00B877C0">
        <w:rPr>
          <w:lang w:val="es-CO"/>
        </w:rPr>
        <w:t>Para</w:t>
      </w:r>
      <w:r w:rsidR="00B877C0" w:rsidRPr="00B877C0">
        <w:rPr>
          <w:lang w:val="es-CO"/>
        </w:rPr>
        <w:t xml:space="preserve"> los 3 árboles la proporción de acierto usando reescritura fue la mas alta, de las 3 opciones.</w:t>
      </w:r>
    </w:p>
    <w:p w14:paraId="438DD9D7" w14:textId="541275F3" w:rsidR="00B877C0" w:rsidRDefault="00B877C0" w:rsidP="00B877C0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Tenemos que entre mas nodos y hojas tiene el árbol resultante, tiene en general proporciones de acierto más bajas</w:t>
      </w:r>
    </w:p>
    <w:p w14:paraId="523C8788" w14:textId="12FB835E" w:rsidR="009D4363" w:rsidRDefault="00CC3E62" w:rsidP="00B877C0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Entre menos valores pueden tomar las columnas categóricas, mas pequeño o simple será el árbol resultante de aquel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>.</w:t>
      </w:r>
    </w:p>
    <w:p w14:paraId="136151EF" w14:textId="77777777" w:rsidR="00807762" w:rsidRDefault="009D4363" w:rsidP="00B877C0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 los </w:t>
      </w:r>
      <w:proofErr w:type="spellStart"/>
      <w:r>
        <w:rPr>
          <w:lang w:val="es-CO"/>
        </w:rPr>
        <w:t>datasets</w:t>
      </w:r>
      <w:proofErr w:type="spellEnd"/>
      <w:r>
        <w:rPr>
          <w:lang w:val="es-CO"/>
        </w:rPr>
        <w:t xml:space="preserve"> a) y c), tuvimos una caída de proporción, al cambiar de reescritura a Cross </w:t>
      </w:r>
      <w:proofErr w:type="spellStart"/>
      <w:r>
        <w:rPr>
          <w:lang w:val="es-CO"/>
        </w:rPr>
        <w:t>validation</w:t>
      </w:r>
      <w:proofErr w:type="spellEnd"/>
      <w:r>
        <w:rPr>
          <w:lang w:val="es-CO"/>
        </w:rPr>
        <w:t xml:space="preserve"> o </w:t>
      </w:r>
      <w:proofErr w:type="spellStart"/>
      <w:r>
        <w:rPr>
          <w:lang w:val="es-CO"/>
        </w:rPr>
        <w:t>Leave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one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Out</w:t>
      </w:r>
      <w:proofErr w:type="spellEnd"/>
      <w:r>
        <w:rPr>
          <w:lang w:val="es-CO"/>
        </w:rPr>
        <w:t>, lo que puede indicar que en general al modelo no le va tan bien, como la reescritura nos hace creer. Así que estas dos medidas pueden ser una mejor opción a la hora de evaluar un modelo.</w:t>
      </w:r>
    </w:p>
    <w:p w14:paraId="5FB0CD6C" w14:textId="2433F21C" w:rsidR="001A10AC" w:rsidRPr="00B877C0" w:rsidRDefault="00807762" w:rsidP="00B877C0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Con KD, se obtuvo un árbol mas grande, que con el J48. Y a su vez obtuvo peor porcentaje de aciertos, siguiendo así el patrón de que entre mas grande y complejo el árbol peores proporciones de acierto se obtienen.</w:t>
      </w:r>
      <w:r w:rsidR="001A10AC" w:rsidRPr="00B877C0">
        <w:rPr>
          <w:lang w:val="es-CO"/>
        </w:rPr>
        <w:br/>
      </w:r>
    </w:p>
    <w:sectPr w:rsidR="001A10AC" w:rsidRPr="00B8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0626"/>
    <w:multiLevelType w:val="hybridMultilevel"/>
    <w:tmpl w:val="223CB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648D"/>
    <w:multiLevelType w:val="hybridMultilevel"/>
    <w:tmpl w:val="4BD0DC7C"/>
    <w:lvl w:ilvl="0" w:tplc="0CA0C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E2335"/>
    <w:multiLevelType w:val="hybridMultilevel"/>
    <w:tmpl w:val="B8D8C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2446">
    <w:abstractNumId w:val="2"/>
  </w:num>
  <w:num w:numId="2" w16cid:durableId="1434785663">
    <w:abstractNumId w:val="1"/>
  </w:num>
  <w:num w:numId="3" w16cid:durableId="869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2"/>
    <w:rsid w:val="001A10AC"/>
    <w:rsid w:val="006E6814"/>
    <w:rsid w:val="00807762"/>
    <w:rsid w:val="0085696D"/>
    <w:rsid w:val="009D4363"/>
    <w:rsid w:val="009E39B7"/>
    <w:rsid w:val="00A006B9"/>
    <w:rsid w:val="00A86852"/>
    <w:rsid w:val="00B877C0"/>
    <w:rsid w:val="00CC3E62"/>
    <w:rsid w:val="00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C777"/>
  <w15:chartTrackingRefBased/>
  <w15:docId w15:val="{EEA9BD35-BF7A-4A7E-8A34-E83B9EB2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0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36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C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note.com/workspace/Dani-e9d57001-4e9b-435d-9a2a-2cd1539c64d5/project/Limpieza-Datos-KD-IAII-405e11bf-4ccd-4c99-bb69-c9e285b9c874/notebook/Notebook-1-90c7b507f7374b89a690aa6d69c4fccd?utm_source=share-modal&amp;utm_medium=product-shared-content&amp;utm_campaign=notebook&amp;utm_content=405e11bf-4ccd-4c99-bb69-c9e285b9c874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water-quality-data-41c5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05/congressional+voting+recor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chive.ics.uci.edu/dataset/936/national+poll+on+healthy+aging+(npha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3</cp:revision>
  <dcterms:created xsi:type="dcterms:W3CDTF">2025-05-05T02:16:00Z</dcterms:created>
  <dcterms:modified xsi:type="dcterms:W3CDTF">2025-05-05T03:08:00Z</dcterms:modified>
</cp:coreProperties>
</file>