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rPr>
          <w:i/>
        </w:rPr>
        <w:t xml:space="preserve">Primary target: </w:t>
      </w:r>
      <w:r>
        <w:rPr>
          <w:i/>
        </w:rPr>
        <w:t>Ecological Informatics</w:t>
      </w:r>
      <w:r>
        <w:t>* (Elsevier). Retargeting notes for Agricultural</w:t>
      </w:r>
    </w:p>
    <w:p>
      <w:r>
        <w:t>Systems / Smart Agricultural Technology are at the foot of this letter.*</w:t>
      </w:r>
    </w:p>
    <w:p>
      <w:r>
        <w:t>Leo Antony</w:t>
      </w:r>
    </w:p>
    <w:p>
      <w:r>
        <w:t>Independent Researcher</w:t>
      </w:r>
    </w:p>
    <w:p>
      <w:r>
        <w:t>Anaikadu (Pattukkottai), Thanjavur District, Tamil Nadu, India</w:t>
      </w:r>
    </w:p>
    <w:p>
      <w:r>
        <w:t>antony.leander@gmail.com</w:t>
      </w:r>
    </w:p>
    <w:p>
      <w:r>
        <w:t>[Date]</w:t>
      </w:r>
    </w:p>
    <w:p>
      <w:r>
        <w:t>To the Editors,</w:t>
      </w:r>
    </w:p>
    <w:p>
      <w:r>
        <w:rPr>
          <w:i/>
        </w:rPr>
        <w:t>Ecological Informatics</w:t>
      </w:r>
    </w:p>
    <w:p>
      <w:r>
        <w:rPr>
          <w:b/>
        </w:rPr>
        <w:t>Re: Submission of an original research article — "From canopy design to crop profit under uncertainty: an honesty-first agroforestry microclimate model with explicit transfer limits, applied to a smallholder coconut farm in Tamil Nadu."</w:t>
      </w:r>
    </w:p>
    <w:p>
      <w:r>
        <w:t>Dear Editors,</w:t>
      </w:r>
    </w:p>
    <w:p>
      <w:r>
        <w:t xml:space="preserve">Please consider the enclosed manuscript for publication in </w:t>
      </w:r>
      <w:r>
        <w:rPr>
          <w:i/>
        </w:rPr>
        <w:t>Ecological Informatics</w:t>
      </w:r>
      <w:r>
        <w:t xml:space="preserve">. The work sits squarely within the journal's scope of computational ecology and the application of machine learning to environmental data: it builds a transferable, uncertainty-quantified model of the </w:t>
      </w:r>
      <w:r>
        <w:rPr>
          <w:b/>
        </w:rPr>
        <w:t>sub-canopy microclimate offset</w:t>
      </w:r>
      <w:r>
        <w:t xml:space="preserve"> — the difference between under-canopy and free-air conditions — and chains it to downstream ecological and agronomic consequences for a real land-use decision.</w:t>
      </w:r>
    </w:p>
    <w:p>
      <w:r>
        <w:rPr>
          <w:b/>
        </w:rPr>
        <w:t>What the paper does.</w:t>
      </w:r>
      <w:r>
        <w:t xml:space="preserve"> We assemble an end-to-end, confidence-labelled pipeline that maps a </w:t>
      </w:r>
      <w:r>
        <w:rPr>
          <w:i/>
        </w:rPr>
        <w:t>controllable</w:t>
      </w:r>
      <w:r>
        <w:t xml:space="preserve"> agroforestry design (overstorey species, canopy density, windbreak, drainage, variety, fruiting time) to the microclimate it creates, then to disease risk, crop viability, and risk-adjusted profit. Mechanistic physics carries the variables it governs exactly (Beer–Lambert light, shelterbelt wind); machine learning is confined to the temperature and vapour-pressure-deficit offsets, where we use gradient-boosted quantile regression with conformalised prediction intervals and an explicit out-of-distribution flag. Uncertainty is propagated end-to-end to a profit distribution, and an inverse-design step searches the controllable design for the risk-aware optimum.</w:t>
      </w:r>
    </w:p>
    <w:p>
      <w:r>
        <w:rPr>
          <w:b/>
        </w:rPr>
        <w:t>Why we think it is a good fit and a genuine contribution.</w:t>
      </w:r>
      <w:r>
        <w:t xml:space="preserve"> Three threads — forest-microclimate offset modelling (e.g. De Frenne et al. 2019; Haesen et al. 2021), crop-suitability mapping, and agricultural digital twins — have not previously been joined, and never with the design levers a farmer actually controls or with disease coupled to the engineered microclimate. Beyond the integration, our central methodological contribution is </w:t>
      </w:r>
      <w:r>
        <w:rPr>
          <w:b/>
        </w:rPr>
        <w:t>honesty about transfer</w:t>
      </w:r>
      <w:r>
        <w:t xml:space="preserve">. Trained on real sub-canopy loggers across two macroclimates plus an open-canopy regime (596 sites), the learned offset is skilful within climate (leave-one-site-out skill +49% over a mean-offset baseline, calibrated intervals) but we show, via a stricter </w:t>
      </w:r>
      <w:r>
        <w:rPr>
          <w:b/>
        </w:rPr>
        <w:t>leave-one-climate-out</w:t>
      </w:r>
      <w:r>
        <w:t xml:space="preserve"> test, that it </w:t>
      </w:r>
      <w:r>
        <w:rPr>
          <w:b/>
        </w:rPr>
        <w:t>fails across macroclimates</w:t>
      </w:r>
      <w:r>
        <w:t xml:space="preserve"> (negative skill on a held-out climate; interval coverage collapsing from ~0.8 to ~0.1–0.5). A physics-prior hybrid we implemented does not rescue this. Rather than hide this, the model flags its own extrapolation, and we further show (a few-shot recalibration experiment) that </w:t>
      </w:r>
      <w:r>
        <w:rPr>
          <w:b/>
        </w:rPr>
        <w:t>~5–25 in-regime observations restore calibrated intervals</w:t>
      </w:r>
      <w:r>
        <w:t xml:space="preserve"> — turning the limitation into a quantitative, actionable specification for field sensing. We believe this kind of pre-registered, reported negative-transfer result is exactly the discipline ecological ML needs as it moves from mapping to decision support, and that it is a useful contribution in its own right.</w:t>
      </w:r>
    </w:p>
    <w:p>
      <w:r>
        <w:rPr>
          <w:b/>
        </w:rPr>
        <w:t>Statements.</w:t>
      </w:r>
      <w:r>
        <w:t xml:space="preserve"> This manuscript is original, has not been published previously, and is not under consideration elsewhere. It is single-authored. All data are openly sourced (Zenodo microclimate datasets; Google Earth Engine remote sensing; public Indian agricultural cost/price sources) and the full analysis pipeline, tests, and decision records are openly available; a tagged code release will accompany any revision. A preprint has been deposited on EarthArXiv (DOI to follow). The author declares no competing financial interest; we note transparently that the application site is the author's prospective farm, and the manuscript's confidence-labelling and pre-registered transfer tests are designed precisely to keep that interest from biasing the reported conclusions.</w:t>
      </w:r>
    </w:p>
    <w:p>
      <w:r>
        <w:rPr>
          <w:b/>
        </w:rPr>
        <w:t>Suggested reviewers</w:t>
      </w:r>
      <w:r>
        <w:t xml:space="preserve"> (experts in microclimate offset modelling and ecological ML; please exclude any with a conflict): researchers in the De Frenne / Lembrechts / Haesen forest-microclimate group (Ghent University; University of Antwerp; KU Leuven), F. Zellweger (WSL, Switzerland), and authors working on conformal prediction for agricultural decision support. We are happy to provide specific names and contacts on request.</w:t>
      </w:r>
    </w:p>
    <w:p>
      <w:r>
        <w:t>We hope you find the work of interest and look forward to the reviewers' feedback.</w:t>
      </w:r>
    </w:p>
    <w:p>
      <w:r>
        <w:t>Sincerely,</w:t>
      </w:r>
    </w:p>
    <w:p>
      <w:r>
        <w:t>Leo Antony</w:t>
      </w:r>
    </w:p>
    <w:p>
      <w:pPr>
        <w:pStyle w:val="Heading1"/>
      </w:pPr>
      <w:r>
        <w:t>Retargeting notes (swap before sending)</w:t>
      </w:r>
    </w:p>
    <w:p>
      <w:r>
        <w:rPr>
          <w:b/>
        </w:rPr>
        <w:t>If submitting to *Agricultural Systems* instead:</w:t>
      </w:r>
      <w:r>
        <w:t xml:space="preserve"> change the scope sentence to emphasise the </w:t>
      </w:r>
      <w:r>
        <w:rPr>
          <w:b/>
        </w:rPr>
        <w:t>coupled-systems</w:t>
      </w:r>
      <w:r>
        <w:t xml:space="preserve"> framing — "interactions among components of agricultural systems" — and that the paper integrates biophysical microclimate, disease, and farm economics into one decision model with propagated uncertainty. Drop the "computational ecology" phrasing; keep the honest-transfer and inverse-design points.</w:t>
      </w:r>
    </w:p>
    <w:p>
      <w:r>
        <w:rPr>
          <w:b/>
        </w:rPr>
        <w:t>If submitting to *Smart Agricultural Technology* instead:</w:t>
      </w:r>
      <w:r>
        <w:t xml:space="preserve"> lead with the </w:t>
      </w:r>
      <w:r>
        <w:rPr>
          <w:b/>
        </w:rPr>
        <w:t>applied decision-support tool</w:t>
      </w:r>
      <w:r>
        <w:t xml:space="preserve"> angle (a farmer-facing design→profit optimiser with honest uncertainty and an interactive report), note it is a companion-scope fit to </w:t>
      </w:r>
      <w:r>
        <w:rPr>
          <w:i/>
        </w:rPr>
        <w:t>Computers and Electronics in Agriculture</w:t>
      </w:r>
      <w:r>
        <w:t>, and that the system is reproducible and deployable. Keep the transfer-limits result as the scientific backbone.</w:t>
      </w:r>
    </w:p>
    <w:p>
      <w:r>
        <w:rPr>
          <w:b/>
        </w:rPr>
        <w:t>For all three:</w:t>
      </w:r>
      <w:r>
        <w:t xml:space="preserve"> keep the originality/competing-interest/data-availability statements verbatim; update the addressee and the one scope paragraph only.</w:t>
      </w:r>
    </w:p>
    <w:p>
      <w:r>
        <w:rPr>
          <w:b/>
        </w:rPr>
        <w:t>Do NOT send to top-tier (CEA 8.9 / AI-in-Agriculture 12.4) yet</w:t>
      </w:r>
      <w:r>
        <w:t xml:space="preserve"> — per </w:t>
      </w:r>
      <w:r>
        <w:rPr>
          <w:rFonts w:ascii="Consolas" w:hAnsi="Consolas"/>
          <w:sz w:val="19"/>
        </w:rPr>
        <w:t>JOURNAL_VETTING.md</w:t>
      </w:r>
      <w:r>
        <w:t xml:space="preserve">, hold those until in-regime (on-plot) validation data exists; the cover letter for those should foreground a </w:t>
      </w:r>
      <w:r>
        <w:rPr>
          <w:i/>
        </w:rPr>
        <w:t>validated</w:t>
      </w:r>
      <w:r>
        <w:t xml:space="preserve"> result, which we will not have until year-1 sensors.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