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7" w:rsidRDefault="00E52ADF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>نکته: تمام برنامه‌نویسان حرفه‌ای دنیا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هیچگاه از فیلد </w:t>
      </w:r>
      <w:r w:rsidRPr="00260997">
        <w:rPr>
          <w:rFonts w:ascii="Courier New" w:hAnsi="Courier New" w:cs="Courier New"/>
          <w:sz w:val="20"/>
          <w:szCs w:val="20"/>
          <w:lang w:bidi="fa-IR"/>
        </w:rPr>
        <w:t>public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استفاده نمی‌کنند.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بلکه آن فیلد را </w:t>
      </w:r>
      <w:r w:rsidR="00437515">
        <w:rPr>
          <w:rFonts w:ascii="Courier New" w:hAnsi="Courier New" w:cs="Courier New"/>
          <w:sz w:val="20"/>
          <w:szCs w:val="20"/>
          <w:lang w:bidi="fa-IR"/>
        </w:rPr>
        <w:t>private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کرده و معادل آن یک </w:t>
      </w:r>
      <w:r w:rsidR="00C27EA9">
        <w:rPr>
          <w:rFonts w:ascii="Courier New" w:hAnsi="Courier New" w:cs="Courier New"/>
          <w:sz w:val="20"/>
          <w:szCs w:val="20"/>
          <w:lang w:bidi="fa-IR"/>
        </w:rPr>
        <w:t>Property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Write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هم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هم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And Write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به طور خلاصه همان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نه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نه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خودمان را سر کار گذاشته‌ایم!</w:t>
      </w:r>
    </w:p>
    <w:p w:rsidR="00C27EA9" w:rsidRDefault="001E161C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در صورتی که بخواهیم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نماییم و نخواهیم در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کدی بنویسیم، می‌توانیم از </w:t>
      </w:r>
      <w:r>
        <w:rPr>
          <w:rFonts w:ascii="Courier New" w:hAnsi="Courier New" w:cs="Courier New"/>
          <w:sz w:val="20"/>
          <w:szCs w:val="20"/>
          <w:lang w:bidi="fa-IR"/>
        </w:rPr>
        <w:t>Snippet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>
        <w:rPr>
          <w:rFonts w:ascii="Courier New" w:hAnsi="Courier New" w:cs="Courier New"/>
          <w:sz w:val="20"/>
          <w:szCs w:val="20"/>
          <w:lang w:bidi="fa-IR"/>
        </w:rPr>
        <w:t>prop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استفاده نماییم.</w:t>
      </w:r>
    </w:p>
    <w:p w:rsidR="001E161C" w:rsidRDefault="00EC00E4" w:rsidP="00EC00E4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="0092354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‌در داخل کلاس، هر چند که به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دسترسی مستقیم داریم، ولی برای خواندن و یا نوشتن </w:t>
      </w:r>
      <w:r w:rsidR="007B7B1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 روی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آن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Pr="004A4CE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متناظر آن استفاده کنیم!</w:t>
      </w:r>
    </w:p>
    <w:p w:rsidR="00923548" w:rsidRDefault="00923548" w:rsidP="0092354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هرگاه بخواهیم برای یک فیلد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متناظر تعریف نماییم، </w:t>
      </w:r>
      <w:r w:rsidRPr="004A4CE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همیشه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آنرا بنویسیم، ولی در صورت نیاز می توانیم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آنرا ضعیف نماییم.</w:t>
      </w:r>
    </w:p>
    <w:p w:rsidR="00EC00E4" w:rsidRDefault="00923548" w:rsidP="00EC00E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کلی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دو دسته تقسیم می‌شوند:</w:t>
      </w:r>
    </w:p>
    <w:p w:rsidR="00923548" w:rsidRDefault="00923548" w:rsidP="00923548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متناظر فیلد (که باید هم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هم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داشته باشند)</w:t>
      </w:r>
    </w:p>
    <w:p w:rsidR="00923548" w:rsidRPr="00923548" w:rsidRDefault="00923548" w:rsidP="00923548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محاسبا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تی که معمولا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دارند.</w:t>
      </w:r>
    </w:p>
    <w:sectPr w:rsidR="00923548" w:rsidRPr="0092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2A1AA6"/>
    <w:rsid w:val="00371FEA"/>
    <w:rsid w:val="00437515"/>
    <w:rsid w:val="004656DF"/>
    <w:rsid w:val="004A4CE9"/>
    <w:rsid w:val="005B5B0F"/>
    <w:rsid w:val="00766542"/>
    <w:rsid w:val="007B7B10"/>
    <w:rsid w:val="00923548"/>
    <w:rsid w:val="00A3371D"/>
    <w:rsid w:val="00AA4B0E"/>
    <w:rsid w:val="00AB7B74"/>
    <w:rsid w:val="00BD00B6"/>
    <w:rsid w:val="00C27EA9"/>
    <w:rsid w:val="00E419D7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4C73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14</cp:revision>
  <dcterms:created xsi:type="dcterms:W3CDTF">2016-11-10T10:51:00Z</dcterms:created>
  <dcterms:modified xsi:type="dcterms:W3CDTF">2017-05-19T08:22:00Z</dcterms:modified>
</cp:coreProperties>
</file>