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3C222" w14:textId="77777777" w:rsidR="00D94BD6" w:rsidRPr="0039316D" w:rsidRDefault="00D94BD6" w:rsidP="00D94BD6">
      <w:pPr>
        <w:spacing w:line="276" w:lineRule="auto"/>
        <w:rPr>
          <w:b/>
          <w:bCs/>
          <w:sz w:val="28"/>
          <w:szCs w:val="24"/>
        </w:rPr>
      </w:pPr>
      <w:r w:rsidRPr="0039316D">
        <w:rPr>
          <w:rFonts w:hint="eastAsia"/>
          <w:b/>
          <w:bCs/>
          <w:sz w:val="28"/>
          <w:szCs w:val="24"/>
        </w:rPr>
        <w:t>Chapter 1</w:t>
      </w:r>
    </w:p>
    <w:p w14:paraId="39EB927B" w14:textId="77777777" w:rsidR="00D94BD6" w:rsidRPr="0094503F" w:rsidRDefault="00D94BD6" w:rsidP="00D94BD6">
      <w:pPr>
        <w:spacing w:line="276" w:lineRule="auto"/>
        <w:rPr>
          <w:b/>
          <w:bCs/>
          <w:sz w:val="28"/>
          <w:szCs w:val="24"/>
        </w:rPr>
      </w:pPr>
      <w:r w:rsidRPr="0094503F">
        <w:rPr>
          <w:rFonts w:hint="eastAsia"/>
          <w:b/>
          <w:bCs/>
          <w:sz w:val="28"/>
          <w:szCs w:val="24"/>
        </w:rPr>
        <w:t>1.1 Statistical Inference for a proportion</w:t>
      </w:r>
    </w:p>
    <w:p w14:paraId="1D5F438A" w14:textId="77777777" w:rsidR="00D94BD6" w:rsidRDefault="00D94BD6" w:rsidP="00D94BD6">
      <w:pPr>
        <w:spacing w:line="276" w:lineRule="auto"/>
        <w:ind w:firstLine="480"/>
      </w:pPr>
      <w:r>
        <w:rPr>
          <w:rFonts w:hint="eastAsia"/>
        </w:rPr>
        <w:t>For the binomial distribution, the maximum likelihood estimator is  </w:t>
      </w:r>
      <m:oMath>
        <m:acc>
          <m:accPr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π</m:t>
            </m:r>
          </m:e>
        </m:acc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y</m:t>
            </m:r>
          </m:num>
          <m:den>
            <m:r>
              <w:rPr>
                <w:rFonts w:ascii="Cambria Math" w:hAnsi="Cambria Math"/>
                <w:color w:val="FF0000"/>
              </w:rPr>
              <m:t>n</m:t>
            </m:r>
          </m:den>
        </m:f>
      </m:oMath>
      <w:r>
        <w:rPr>
          <w:rFonts w:hint="eastAsia"/>
        </w:rPr>
        <w:t xml:space="preserve"> , which denotes the sample proportion. </w:t>
      </w:r>
    </w:p>
    <w:p w14:paraId="6AAECA37" w14:textId="77777777" w:rsidR="00D94BD6" w:rsidRPr="0094503F" w:rsidRDefault="00D94BD6" w:rsidP="00D94BD6">
      <w:pPr>
        <w:spacing w:line="276" w:lineRule="auto"/>
        <w:rPr>
          <w:b/>
          <w:bCs/>
          <w:sz w:val="28"/>
          <w:szCs w:val="24"/>
        </w:rPr>
      </w:pPr>
      <w:r w:rsidRPr="0094503F">
        <w:rPr>
          <w:rFonts w:hint="eastAsia"/>
          <w:b/>
          <w:bCs/>
          <w:sz w:val="28"/>
          <w:szCs w:val="24"/>
        </w:rPr>
        <w:t xml:space="preserve">1.2 Significance test about a binomial parameter </w:t>
      </w:r>
    </w:p>
    <w:p w14:paraId="4E908BF4" w14:textId="77777777" w:rsidR="00D94BD6" w:rsidRDefault="00D94BD6" w:rsidP="00D94BD6">
      <w:pPr>
        <w:spacing w:line="276" w:lineRule="auto"/>
        <w:ind w:firstLine="480"/>
      </w:pPr>
      <w:r>
        <w:rPr>
          <w:rFonts w:hint="eastAsia"/>
        </w:rPr>
        <w:t xml:space="preserve">Consider the hypothesis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:π=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:π≠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eqArr>
          </m:e>
        </m:d>
      </m:oMath>
      <w:r>
        <w:rPr>
          <w:rFonts w:hint="eastAsia"/>
        </w:rPr>
        <w:t xml:space="preserve">, The test statistic </w:t>
      </w:r>
      <w:proofErr w:type="gramStart"/>
      <w:r>
        <w:rPr>
          <w:rFonts w:hint="eastAsia"/>
        </w:rPr>
        <w:t>is</w:t>
      </w:r>
      <w:proofErr w:type="gramEnd"/>
    </w:p>
    <w:p w14:paraId="1A55DFAB" w14:textId="77777777" w:rsidR="00D94BD6" w:rsidRPr="0036329B" w:rsidRDefault="00D94BD6" w:rsidP="00D94BD6">
      <w:pPr>
        <w:spacing w:line="276" w:lineRule="auto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 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 .</m:t>
          </m:r>
        </m:oMath>
      </m:oMathPara>
    </w:p>
    <w:p w14:paraId="6B72564B" w14:textId="77777777" w:rsidR="00D94BD6" w:rsidRPr="0094503F" w:rsidRDefault="00D94BD6" w:rsidP="00D94BD6">
      <w:pPr>
        <w:spacing w:line="276" w:lineRule="auto"/>
        <w:rPr>
          <w:b/>
          <w:bCs/>
          <w:sz w:val="28"/>
          <w:szCs w:val="24"/>
        </w:rPr>
      </w:pPr>
      <w:r w:rsidRPr="0094503F">
        <w:rPr>
          <w:rFonts w:hint="eastAsia"/>
          <w:b/>
          <w:bCs/>
          <w:sz w:val="28"/>
          <w:szCs w:val="24"/>
        </w:rPr>
        <w:t xml:space="preserve">1.3 Confidence Intervals for a binomial parameter </w:t>
      </w:r>
    </w:p>
    <w:p w14:paraId="1C657DC6" w14:textId="77777777" w:rsidR="00D94BD6" w:rsidRPr="0036329B" w:rsidRDefault="00D94BD6" w:rsidP="00D94BD6">
      <w:pPr>
        <w:spacing w:line="276" w:lineRule="auto"/>
        <w:ind w:firstLine="480"/>
      </w:pPr>
      <w:r>
        <w:rPr>
          <w:rFonts w:hint="eastAsia"/>
        </w:rPr>
        <w:t xml:space="preserve">The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%</m:t>
        </m:r>
      </m:oMath>
      <w:r>
        <w:rPr>
          <w:rFonts w:hint="eastAsia"/>
        </w:rPr>
        <w:t xml:space="preserve"> Wald confidence interval for 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 </w:t>
      </w:r>
    </w:p>
    <w:p w14:paraId="7C96D896" w14:textId="77777777" w:rsidR="00D94BD6" w:rsidRPr="00C9388F" w:rsidRDefault="00D94BD6" w:rsidP="00D94BD6">
      <w:pPr>
        <w:spacing w:line="276" w:lineRule="auto"/>
        <w:ind w:firstLine="480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π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α/2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.</m:t>
          </m:r>
        </m:oMath>
      </m:oMathPara>
    </w:p>
    <w:p w14:paraId="41FFF385" w14:textId="77777777" w:rsidR="00D94BD6" w:rsidRDefault="00D94BD6" w:rsidP="00D94BD6">
      <w:pPr>
        <w:spacing w:line="276" w:lineRule="auto"/>
        <w:ind w:firstLine="480"/>
      </w:pPr>
      <w:r>
        <w:rPr>
          <w:rFonts w:hint="eastAsia"/>
        </w:rPr>
        <w:t xml:space="preserve">The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w:rPr>
            <w:rFonts w:ascii="Cambria Math" w:hAnsi="Cambria Math"/>
          </w:rPr>
          <m:t>%</m:t>
        </m:r>
      </m:oMath>
      <w:r>
        <w:rPr>
          <w:rFonts w:hint="eastAsia"/>
        </w:rPr>
        <w:t xml:space="preserve"> score confidence interval for 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 xml:space="preserve"> is to solve the </w:t>
      </w:r>
      <w:proofErr w:type="gramStart"/>
      <w:r>
        <w:rPr>
          <w:rFonts w:hint="eastAsia"/>
        </w:rPr>
        <w:t>equation</w:t>
      </w:r>
      <w:proofErr w:type="gramEnd"/>
    </w:p>
    <w:p w14:paraId="132E0711" w14:textId="77777777" w:rsidR="00D94BD6" w:rsidRPr="00C9388F" w:rsidRDefault="00D94BD6" w:rsidP="00D94BD6">
      <w:pPr>
        <w:spacing w:line="276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 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=±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α/2</m:t>
              </m:r>
            </m:sub>
          </m:sSub>
          <m:r>
            <w:rPr>
              <w:rFonts w:ascii="Cambria Math" w:hAnsi="Cambria Math"/>
            </w:rPr>
            <m:t xml:space="preserve"> .</m:t>
          </m:r>
        </m:oMath>
      </m:oMathPara>
    </w:p>
    <w:p w14:paraId="67D1D12B" w14:textId="77777777" w:rsidR="00D94BD6" w:rsidRDefault="00D94BD6" w:rsidP="00D94BD6">
      <w:pPr>
        <w:spacing w:line="276" w:lineRule="auto"/>
      </w:pPr>
      <w:r>
        <w:rPr>
          <w:rFonts w:hint="eastAsia"/>
        </w:rPr>
        <w:t>1.4 Wald, Score, and Likelihood-Ratio Test</w:t>
      </w:r>
    </w:p>
    <w:p w14:paraId="6EC06EDB" w14:textId="1C83918E" w:rsidR="00C641AF" w:rsidRPr="00D94BD6" w:rsidRDefault="00C641AF" w:rsidP="00D94BD6"/>
    <w:sectPr w:rsidR="00C641AF" w:rsidRPr="00D94B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E7894E" w14:textId="77777777" w:rsidR="00100287" w:rsidRDefault="00100287" w:rsidP="005D06EF">
      <w:r>
        <w:separator/>
      </w:r>
    </w:p>
  </w:endnote>
  <w:endnote w:type="continuationSeparator" w:id="0">
    <w:p w14:paraId="420A3BC7" w14:textId="77777777" w:rsidR="00100287" w:rsidRDefault="00100287" w:rsidP="005D0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3863CC" w14:textId="77777777" w:rsidR="00100287" w:rsidRDefault="00100287" w:rsidP="005D06EF">
      <w:r>
        <w:separator/>
      </w:r>
    </w:p>
  </w:footnote>
  <w:footnote w:type="continuationSeparator" w:id="0">
    <w:p w14:paraId="58E85071" w14:textId="77777777" w:rsidR="00100287" w:rsidRDefault="00100287" w:rsidP="005D0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43"/>
    <w:rsid w:val="00027743"/>
    <w:rsid w:val="00063A8E"/>
    <w:rsid w:val="000A1843"/>
    <w:rsid w:val="000C18C1"/>
    <w:rsid w:val="000F031A"/>
    <w:rsid w:val="000F2BFB"/>
    <w:rsid w:val="000F6139"/>
    <w:rsid w:val="000F62C4"/>
    <w:rsid w:val="00100287"/>
    <w:rsid w:val="00105330"/>
    <w:rsid w:val="00112943"/>
    <w:rsid w:val="00121B42"/>
    <w:rsid w:val="00131FAF"/>
    <w:rsid w:val="00145311"/>
    <w:rsid w:val="00156188"/>
    <w:rsid w:val="00164E37"/>
    <w:rsid w:val="00165FF9"/>
    <w:rsid w:val="001825B7"/>
    <w:rsid w:val="001A7AA1"/>
    <w:rsid w:val="001B74A6"/>
    <w:rsid w:val="001D6F4E"/>
    <w:rsid w:val="001E23AC"/>
    <w:rsid w:val="0020023D"/>
    <w:rsid w:val="00205A42"/>
    <w:rsid w:val="002125EB"/>
    <w:rsid w:val="002152E2"/>
    <w:rsid w:val="00223437"/>
    <w:rsid w:val="002360FA"/>
    <w:rsid w:val="00243297"/>
    <w:rsid w:val="002469CD"/>
    <w:rsid w:val="002475AF"/>
    <w:rsid w:val="002519ED"/>
    <w:rsid w:val="00255796"/>
    <w:rsid w:val="002643AC"/>
    <w:rsid w:val="00283D0A"/>
    <w:rsid w:val="002D5978"/>
    <w:rsid w:val="002E45B6"/>
    <w:rsid w:val="002E5430"/>
    <w:rsid w:val="0036329B"/>
    <w:rsid w:val="00365355"/>
    <w:rsid w:val="0039316D"/>
    <w:rsid w:val="003B4755"/>
    <w:rsid w:val="003C509A"/>
    <w:rsid w:val="003F77F9"/>
    <w:rsid w:val="00405FF8"/>
    <w:rsid w:val="00450B1A"/>
    <w:rsid w:val="00470319"/>
    <w:rsid w:val="00483B18"/>
    <w:rsid w:val="004B7A97"/>
    <w:rsid w:val="004C20A7"/>
    <w:rsid w:val="004D34A9"/>
    <w:rsid w:val="004E2150"/>
    <w:rsid w:val="004E4743"/>
    <w:rsid w:val="00501BDE"/>
    <w:rsid w:val="00512953"/>
    <w:rsid w:val="00513179"/>
    <w:rsid w:val="00522AEB"/>
    <w:rsid w:val="0052490A"/>
    <w:rsid w:val="00553890"/>
    <w:rsid w:val="00563951"/>
    <w:rsid w:val="005649C6"/>
    <w:rsid w:val="005673DF"/>
    <w:rsid w:val="00575B76"/>
    <w:rsid w:val="005C0B95"/>
    <w:rsid w:val="005D06EF"/>
    <w:rsid w:val="005E5163"/>
    <w:rsid w:val="005F6E3D"/>
    <w:rsid w:val="00610347"/>
    <w:rsid w:val="00646B18"/>
    <w:rsid w:val="006545B1"/>
    <w:rsid w:val="0068250B"/>
    <w:rsid w:val="00683175"/>
    <w:rsid w:val="00696A3A"/>
    <w:rsid w:val="006B7B9C"/>
    <w:rsid w:val="006F4F2C"/>
    <w:rsid w:val="006F7B15"/>
    <w:rsid w:val="0070681A"/>
    <w:rsid w:val="007120FA"/>
    <w:rsid w:val="00720732"/>
    <w:rsid w:val="0072126C"/>
    <w:rsid w:val="0074206E"/>
    <w:rsid w:val="007541A4"/>
    <w:rsid w:val="0076787F"/>
    <w:rsid w:val="007F3262"/>
    <w:rsid w:val="00823FF5"/>
    <w:rsid w:val="00846513"/>
    <w:rsid w:val="008B5339"/>
    <w:rsid w:val="008C0D98"/>
    <w:rsid w:val="008C2902"/>
    <w:rsid w:val="008C7B44"/>
    <w:rsid w:val="008D0D98"/>
    <w:rsid w:val="008E158A"/>
    <w:rsid w:val="008E23B8"/>
    <w:rsid w:val="008F050F"/>
    <w:rsid w:val="00905551"/>
    <w:rsid w:val="00917E71"/>
    <w:rsid w:val="00940E9B"/>
    <w:rsid w:val="0094503F"/>
    <w:rsid w:val="009C35CD"/>
    <w:rsid w:val="009F2FE7"/>
    <w:rsid w:val="00A24FC0"/>
    <w:rsid w:val="00A32DB3"/>
    <w:rsid w:val="00A57774"/>
    <w:rsid w:val="00A6050B"/>
    <w:rsid w:val="00A65352"/>
    <w:rsid w:val="00A7056A"/>
    <w:rsid w:val="00A95511"/>
    <w:rsid w:val="00AC4FF4"/>
    <w:rsid w:val="00AD0EF7"/>
    <w:rsid w:val="00B00592"/>
    <w:rsid w:val="00B071F6"/>
    <w:rsid w:val="00B20CC2"/>
    <w:rsid w:val="00B216CB"/>
    <w:rsid w:val="00B37098"/>
    <w:rsid w:val="00B43FCE"/>
    <w:rsid w:val="00B82603"/>
    <w:rsid w:val="00B8436B"/>
    <w:rsid w:val="00BA536D"/>
    <w:rsid w:val="00BD5A4A"/>
    <w:rsid w:val="00BE7B8B"/>
    <w:rsid w:val="00C141A4"/>
    <w:rsid w:val="00C1767D"/>
    <w:rsid w:val="00C35B24"/>
    <w:rsid w:val="00C537E2"/>
    <w:rsid w:val="00C565AE"/>
    <w:rsid w:val="00C641AF"/>
    <w:rsid w:val="00C76112"/>
    <w:rsid w:val="00C9388F"/>
    <w:rsid w:val="00CA7D7A"/>
    <w:rsid w:val="00CB7B96"/>
    <w:rsid w:val="00CC28EE"/>
    <w:rsid w:val="00CE0A9D"/>
    <w:rsid w:val="00CF3BD7"/>
    <w:rsid w:val="00D2422A"/>
    <w:rsid w:val="00D472C7"/>
    <w:rsid w:val="00D56EEA"/>
    <w:rsid w:val="00D6786F"/>
    <w:rsid w:val="00D931FF"/>
    <w:rsid w:val="00D94258"/>
    <w:rsid w:val="00D94BD6"/>
    <w:rsid w:val="00D96347"/>
    <w:rsid w:val="00DA577F"/>
    <w:rsid w:val="00DD3B1E"/>
    <w:rsid w:val="00DD509F"/>
    <w:rsid w:val="00DF2B1B"/>
    <w:rsid w:val="00E467AA"/>
    <w:rsid w:val="00E77C8F"/>
    <w:rsid w:val="00EA6147"/>
    <w:rsid w:val="00EC2352"/>
    <w:rsid w:val="00EC3F36"/>
    <w:rsid w:val="00EC6D54"/>
    <w:rsid w:val="00ED3BB5"/>
    <w:rsid w:val="00EE228B"/>
    <w:rsid w:val="00F021DB"/>
    <w:rsid w:val="00F133E9"/>
    <w:rsid w:val="00F157AB"/>
    <w:rsid w:val="00F202E9"/>
    <w:rsid w:val="00F24575"/>
    <w:rsid w:val="00F300C6"/>
    <w:rsid w:val="00F377B7"/>
    <w:rsid w:val="00FA01EC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2F927"/>
  <w15:chartTrackingRefBased/>
  <w15:docId w15:val="{090B59D1-71E6-4122-8DEB-D109B0B9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77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743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74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7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7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743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743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743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77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77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77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77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7743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774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7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7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277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7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77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7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7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77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74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21B42"/>
    <w:rPr>
      <w:color w:val="666666"/>
    </w:rPr>
  </w:style>
  <w:style w:type="paragraph" w:styleId="af">
    <w:name w:val="Date"/>
    <w:basedOn w:val="a"/>
    <w:next w:val="a"/>
    <w:link w:val="af0"/>
    <w:uiPriority w:val="99"/>
    <w:semiHidden/>
    <w:unhideWhenUsed/>
    <w:rsid w:val="00BA536D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A536D"/>
  </w:style>
  <w:style w:type="table" w:styleId="af1">
    <w:name w:val="Table Grid"/>
    <w:basedOn w:val="a1"/>
    <w:uiPriority w:val="39"/>
    <w:rsid w:val="0050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5D06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5D06EF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5D06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5D06E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98BAA-9257-4B2A-856C-F4DA37806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宗祐 李</cp:lastModifiedBy>
  <cp:revision>42</cp:revision>
  <dcterms:created xsi:type="dcterms:W3CDTF">2024-03-28T07:03:00Z</dcterms:created>
  <dcterms:modified xsi:type="dcterms:W3CDTF">2024-05-22T06:19:00Z</dcterms:modified>
</cp:coreProperties>
</file>