
<file path=[Content_Types].xml><?xml version="1.0" encoding="utf-8"?>
<Types xmlns="http://schemas.openxmlformats.org/package/2006/content-types">
  <Default Extension="xml" ContentType="application/xml"/>
  <Default Extension="xlsx" ContentType="application/vnd.openxmlformats-officedocument.spreadsheetml.sheet"/>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E641BC">
      <w:r>
        <w:rPr>
          <w:sz w:val="21"/>
        </w:rPr>
        <mc:AlternateContent>
          <mc:Choice Requires="wpg">
            <w:drawing>
              <wp:anchor distT="0" distB="0" distL="114300" distR="114300" simplePos="0" relativeHeight="251660288" behindDoc="0" locked="0" layoutInCell="1" allowOverlap="1">
                <wp:simplePos x="0" y="0"/>
                <wp:positionH relativeFrom="column">
                  <wp:posOffset>-291465</wp:posOffset>
                </wp:positionH>
                <wp:positionV relativeFrom="paragraph">
                  <wp:posOffset>1791335</wp:posOffset>
                </wp:positionV>
                <wp:extent cx="6283960" cy="2082800"/>
                <wp:effectExtent l="0" t="0" r="0" b="0"/>
                <wp:wrapNone/>
                <wp:docPr id="4" name="组合 4"/>
                <wp:cNvGraphicFramePr/>
                <a:graphic xmlns:a="http://schemas.openxmlformats.org/drawingml/2006/main">
                  <a:graphicData uri="http://schemas.microsoft.com/office/word/2010/wordprocessingGroup">
                    <wpg:wgp>
                      <wpg:cNvGrpSpPr/>
                      <wpg:grpSpPr>
                        <a:xfrm>
                          <a:off x="0" y="0"/>
                          <a:ext cx="6283960" cy="2082800"/>
                          <a:chOff x="10032" y="3544"/>
                          <a:chExt cx="9896" cy="3280"/>
                        </a:xfrm>
                      </wpg:grpSpPr>
                      <wps:wsp>
                        <wps:cNvPr id="6" name="文本框 6"/>
                        <wps:cNvSpPr txBox="1"/>
                        <wps:spPr>
                          <a:xfrm>
                            <a:off x="10032" y="4147"/>
                            <a:ext cx="9896" cy="215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A6CAA8">
                              <w:pPr>
                                <w:keepNext w:val="0"/>
                                <w:keepLines w:val="0"/>
                                <w:pageBreakBefore w:val="0"/>
                                <w:widowControl w:val="0"/>
                                <w:kinsoku/>
                                <w:wordWrap/>
                                <w:overflowPunct/>
                                <w:topLinePunct w:val="0"/>
                                <w:autoSpaceDE/>
                                <w:autoSpaceDN/>
                                <w:bidi w:val="0"/>
                                <w:adjustRightInd/>
                                <w:snapToGrid w:val="0"/>
                                <w:textAlignment w:val="auto"/>
                                <w:outlineLvl w:val="9"/>
                                <w:rPr>
                                  <w:rFonts w:hint="eastAsia" w:ascii="微软雅黑" w:hAnsi="微软雅黑" w:eastAsia="微软雅黑" w:cs="微软雅黑"/>
                                  <w:b/>
                                  <w:bCs/>
                                  <w:color w:val="92D050"/>
                                  <w:sz w:val="48"/>
                                  <w:szCs w:val="48"/>
                                  <w:lang w:val="en-US" w:eastAsia="zh-CN"/>
                                </w:rPr>
                              </w:pPr>
                              <w:r>
                                <w:rPr>
                                  <w:rFonts w:hint="eastAsia" w:ascii="思源黑体 CN Heavy" w:hAnsi="思源黑体 CN Heavy" w:eastAsia="思源黑体 CN Heavy" w:cs="思源黑体 CN Heavy"/>
                                  <w:color w:val="404040" w:themeColor="text1" w:themeTint="BF"/>
                                  <w:sz w:val="100"/>
                                  <w:szCs w:val="100"/>
                                  <w:lang w:val="en-US" w:eastAsia="zh-CN"/>
                                  <w14:textFill>
                                    <w14:solidFill>
                                      <w14:schemeClr w14:val="tx1">
                                        <w14:lumMod w14:val="75000"/>
                                        <w14:lumOff w14:val="25000"/>
                                      </w14:schemeClr>
                                    </w14:solidFill>
                                  </w14:textFill>
                                </w:rPr>
                                <w:t>问卷调研分析报告</w:t>
                              </w:r>
                            </w:p>
                            <w:p w14:paraId="6ECD21A8">
                              <w:pPr>
                                <w:rPr>
                                  <w:rFonts w:hint="default" w:ascii="思源黑体 CN Heavy" w:hAnsi="思源黑体 CN Heavy" w:eastAsia="思源黑体 CN Heavy" w:cs="思源黑体 CN Heavy"/>
                                  <w:color w:val="404040" w:themeColor="text1" w:themeTint="BF"/>
                                  <w:sz w:val="100"/>
                                  <w:szCs w:val="100"/>
                                  <w:lang w:val="en-US" w:eastAsia="zh-CN"/>
                                  <w14:textFill>
                                    <w14:solidFill>
                                      <w14:schemeClr w14:val="tx1">
                                        <w14:lumMod w14:val="75000"/>
                                        <w14:lumOff w14:val="25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7" name="文本框 7"/>
                        <wps:cNvSpPr txBox="1"/>
                        <wps:spPr>
                          <a:xfrm>
                            <a:off x="11470" y="5880"/>
                            <a:ext cx="7810" cy="94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A84B70">
                              <w:pPr>
                                <w:jc w:val="distribute"/>
                                <w:rPr>
                                  <w:rFonts w:hint="default"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t>QUESTIONNAIRE SURVEY ANALYSIS REPORT</w:t>
                              </w:r>
                            </w:p>
                            <w:p w14:paraId="73CE04CF">
                              <w:pPr>
                                <w:jc w:val="left"/>
                                <w:rPr>
                                  <w:rFonts w:hint="default" w:ascii="思源黑体 CN Medium" w:hAnsi="思源黑体 CN Medium" w:eastAsia="思源黑体 CN Medium" w:cs="思源黑体 CN Medium"/>
                                  <w:color w:val="808080" w:themeColor="text1" w:themeTint="80"/>
                                  <w:sz w:val="48"/>
                                  <w:szCs w:val="48"/>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wpg:grpSp>
                        <wpg:cNvPr id="10" name="组合 10"/>
                        <wpg:cNvGrpSpPr/>
                        <wpg:grpSpPr>
                          <a:xfrm>
                            <a:off x="10184" y="6018"/>
                            <a:ext cx="1303" cy="643"/>
                            <a:chOff x="5646" y="4616"/>
                            <a:chExt cx="1303" cy="643"/>
                          </a:xfrm>
                        </wpg:grpSpPr>
                        <wps:wsp>
                          <wps:cNvPr id="8" name="圆角矩形 8"/>
                          <wps:cNvSpPr/>
                          <wps:spPr>
                            <a:xfrm>
                              <a:off x="5646" y="4752"/>
                              <a:ext cx="1303" cy="507"/>
                            </a:xfrm>
                            <a:prstGeom prst="roundRect">
                              <a:avLst/>
                            </a:prstGeom>
                            <a:solidFill>
                              <a:srgbClr val="4BBC9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 name="文本框 9"/>
                          <wps:cNvSpPr txBox="1"/>
                          <wps:spPr>
                            <a:xfrm>
                              <a:off x="5786" y="4616"/>
                              <a:ext cx="1068" cy="58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630277">
                                <w:pPr>
                                  <w:jc w:val="distribute"/>
                                  <w:rPr>
                                    <w:rFonts w:hint="default" w:ascii="思源黑体 CN Medium" w:hAnsi="思源黑体 CN Medium" w:eastAsia="思源黑体 CN Medium" w:cs="思源黑体 CN Medium"/>
                                    <w:color w:val="FFFFFF" w:themeColor="background1"/>
                                    <w:sz w:val="28"/>
                                    <w:szCs w:val="36"/>
                                    <w:lang w:val="en-US" w:eastAsia="zh-CN"/>
                                    <w14:textFill>
                                      <w14:solidFill>
                                        <w14:schemeClr w14:val="bg1"/>
                                      </w14:solidFill>
                                    </w14:textFill>
                                  </w:rPr>
                                </w:pPr>
                                <w:r>
                                  <w:rPr>
                                    <w:rFonts w:hint="eastAsia" w:ascii="思源黑体 CN Medium" w:hAnsi="思源黑体 CN Medium" w:eastAsia="思源黑体 CN Medium" w:cs="思源黑体 CN Medium"/>
                                    <w:color w:val="FFFFFF" w:themeColor="background1"/>
                                    <w:sz w:val="28"/>
                                    <w:szCs w:val="36"/>
                                    <w:lang w:val="en-US" w:eastAsia="zh-CN"/>
                                    <w14:textFill>
                                      <w14:solidFill>
                                        <w14:schemeClr w14:val="bg1"/>
                                      </w14:solidFill>
                                    </w14:textFill>
                                  </w:rPr>
                                  <w:t>2025</w:t>
                                </w:r>
                              </w:p>
                            </w:txbxContent>
                          </wps:txbx>
                          <wps:bodyPr rot="0" spcFirstLastPara="0" vertOverflow="overflow" horzOverflow="overflow" vert="horz" wrap="square" lIns="91440" tIns="45720" rIns="91440" bIns="45720" numCol="1" spcCol="0" rtlCol="0" fromWordArt="0" anchor="t" anchorCtr="0" forceAA="0" compatLnSpc="1">
                            <a:noAutofit/>
                          </wps:bodyPr>
                        </wps:wsp>
                      </wpg:grpSp>
                      <wps:wsp>
                        <wps:cNvPr id="3" name="文本框 3"/>
                        <wps:cNvSpPr txBox="1"/>
                        <wps:spPr>
                          <a:xfrm>
                            <a:off x="10120" y="3544"/>
                            <a:ext cx="8906" cy="1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750F3A">
                              <w:pP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t>厄贝沙坦氢氯噻嗪片依从性与用药习惯</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22.95pt;margin-top:141.05pt;height:164pt;width:494.8pt;z-index:251660288;mso-width-relative:page;mso-height-relative:page;" coordorigin="10032,3544" coordsize="9896,3280" o:gfxdata="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">
                <o:lock v:ext="edit" aspectratio="f"/>
                <v:shape id="_x0000_s1026" o:spid="_x0000_s1026" o:spt="202" type="#_x0000_t202" style="position:absolute;left:10032;top:4147;height:2158;width:9896;" filled="f" stroked="f" coordsize="21600,21600" o:gfxdata="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m7dr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6A6CAA8">
                        <w:pPr>
                          <w:keepNext w:val="0"/>
                          <w:keepLines w:val="0"/>
                          <w:pageBreakBefore w:val="0"/>
                          <w:widowControl w:val="0"/>
                          <w:kinsoku/>
                          <w:wordWrap/>
                          <w:overflowPunct/>
                          <w:topLinePunct w:val="0"/>
                          <w:autoSpaceDE/>
                          <w:autoSpaceDN/>
                          <w:bidi w:val="0"/>
                          <w:adjustRightInd/>
                          <w:snapToGrid w:val="0"/>
                          <w:textAlignment w:val="auto"/>
                          <w:outlineLvl w:val="9"/>
                          <w:rPr>
                            <w:rFonts w:hint="eastAsia" w:ascii="微软雅黑" w:hAnsi="微软雅黑" w:eastAsia="微软雅黑" w:cs="微软雅黑"/>
                            <w:b/>
                            <w:bCs/>
                            <w:color w:val="92D050"/>
                            <w:sz w:val="48"/>
                            <w:szCs w:val="48"/>
                            <w:lang w:val="en-US" w:eastAsia="zh-CN"/>
                          </w:rPr>
                        </w:pPr>
                        <w:r>
                          <w:rPr>
                            <w:rFonts w:hint="eastAsia" w:ascii="思源黑体 CN Heavy" w:hAnsi="思源黑体 CN Heavy" w:eastAsia="思源黑体 CN Heavy" w:cs="思源黑体 CN Heavy"/>
                            <w:color w:val="404040" w:themeColor="text1" w:themeTint="BF"/>
                            <w:sz w:val="100"/>
                            <w:szCs w:val="100"/>
                            <w:lang w:val="en-US" w:eastAsia="zh-CN"/>
                            <w14:textFill>
                              <w14:solidFill>
                                <w14:schemeClr w14:val="tx1">
                                  <w14:lumMod w14:val="75000"/>
                                  <w14:lumOff w14:val="25000"/>
                                </w14:schemeClr>
                              </w14:solidFill>
                            </w14:textFill>
                          </w:rPr>
                          <w:t>问卷调研分析报告</w:t>
                        </w:r>
                      </w:p>
                      <w:p w14:paraId="6ECD21A8">
                        <w:pPr>
                          <w:rPr>
                            <w:rFonts w:hint="default" w:ascii="思源黑体 CN Heavy" w:hAnsi="思源黑体 CN Heavy" w:eastAsia="思源黑体 CN Heavy" w:cs="思源黑体 CN Heavy"/>
                            <w:color w:val="404040" w:themeColor="text1" w:themeTint="BF"/>
                            <w:sz w:val="100"/>
                            <w:szCs w:val="100"/>
                            <w:lang w:val="en-US" w:eastAsia="zh-CN"/>
                            <w14:textFill>
                              <w14:solidFill>
                                <w14:schemeClr w14:val="tx1">
                                  <w14:lumMod w14:val="75000"/>
                                  <w14:lumOff w14:val="25000"/>
                                </w14:schemeClr>
                              </w14:solidFill>
                            </w14:textFill>
                          </w:rPr>
                        </w:pPr>
                      </w:p>
                    </w:txbxContent>
                  </v:textbox>
                </v:shape>
                <v:shape id="_x0000_s1026" o:spid="_x0000_s1026" o:spt="202" type="#_x0000_t202" style="position:absolute;left:11470;top:5880;height:944;width:7810;" filled="f" stroked="f" coordsize="21600,21600" o:gfxdata="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PXEvC/&#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18A84B70">
                        <w:pPr>
                          <w:jc w:val="distribute"/>
                          <w:rPr>
                            <w:rFonts w:hint="default"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t>QUESTIONNAIRE SURVEY ANALYSIS REPORT</w:t>
                        </w:r>
                      </w:p>
                      <w:p w14:paraId="73CE04CF">
                        <w:pPr>
                          <w:jc w:val="left"/>
                          <w:rPr>
                            <w:rFonts w:hint="default" w:ascii="思源黑体 CN Medium" w:hAnsi="思源黑体 CN Medium" w:eastAsia="思源黑体 CN Medium" w:cs="思源黑体 CN Medium"/>
                            <w:color w:val="808080" w:themeColor="text1" w:themeTint="80"/>
                            <w:sz w:val="48"/>
                            <w:szCs w:val="48"/>
                            <w:lang w:val="en-US" w:eastAsia="zh-CN"/>
                            <w14:textFill>
                              <w14:solidFill>
                                <w14:schemeClr w14:val="tx1">
                                  <w14:lumMod w14:val="50000"/>
                                  <w14:lumOff w14:val="50000"/>
                                </w14:schemeClr>
                              </w14:solidFill>
                            </w14:textFill>
                          </w:rPr>
                        </w:pPr>
                      </w:p>
                    </w:txbxContent>
                  </v:textbox>
                </v:shape>
                <v:group id="_x0000_s1026" o:spid="_x0000_s1026" o:spt="203" style="position:absolute;left:10184;top:6018;height:643;width:1303;" coordorigin="5646,4616" coordsize="1303,64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roundrect id="_x0000_s1026" o:spid="_x0000_s1026" o:spt="2" style="position:absolute;left:5646;top:4752;height:507;width:1303;v-text-anchor:middle;" fillcolor="#4BBC91" filled="t" stroked="f" coordsize="21600,21600" arcsize="0.166666666666667" o:gfxdata="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KEIK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oundrect>
                  <v:shape id="_x0000_s1026" o:spid="_x0000_s1026" o:spt="202" type="#_x0000_t202" style="position:absolute;left:5786;top:4616;height:588;width:1068;" filled="f" stroked="f" coordsize="21600,21600" o:gfxdata="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QjGb4A&#10;AADa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2630277">
                          <w:pPr>
                            <w:jc w:val="distribute"/>
                            <w:rPr>
                              <w:rFonts w:hint="default" w:ascii="思源黑体 CN Medium" w:hAnsi="思源黑体 CN Medium" w:eastAsia="思源黑体 CN Medium" w:cs="思源黑体 CN Medium"/>
                              <w:color w:val="FFFFFF" w:themeColor="background1"/>
                              <w:sz w:val="28"/>
                              <w:szCs w:val="36"/>
                              <w:lang w:val="en-US" w:eastAsia="zh-CN"/>
                              <w14:textFill>
                                <w14:solidFill>
                                  <w14:schemeClr w14:val="bg1"/>
                                </w14:solidFill>
                              </w14:textFill>
                            </w:rPr>
                          </w:pPr>
                          <w:r>
                            <w:rPr>
                              <w:rFonts w:hint="eastAsia" w:ascii="思源黑体 CN Medium" w:hAnsi="思源黑体 CN Medium" w:eastAsia="思源黑体 CN Medium" w:cs="思源黑体 CN Medium"/>
                              <w:color w:val="FFFFFF" w:themeColor="background1"/>
                              <w:sz w:val="28"/>
                              <w:szCs w:val="36"/>
                              <w:lang w:val="en-US" w:eastAsia="zh-CN"/>
                              <w14:textFill>
                                <w14:solidFill>
                                  <w14:schemeClr w14:val="bg1"/>
                                </w14:solidFill>
                              </w14:textFill>
                            </w:rPr>
                            <w:t>2025</w:t>
                          </w:r>
                        </w:p>
                      </w:txbxContent>
                    </v:textbox>
                  </v:shape>
                </v:group>
                <v:shape id="_x0000_s1026" o:spid="_x0000_s1026" o:spt="202" type="#_x0000_t202" style="position:absolute;left:10120;top:3544;height:1095;width:8906;" filled="f" stroked="f" coordsize="21600,21600" o:gfxdata="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zsFPO/&#10;AAAA2g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51750F3A">
                        <w:pP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6"/>
                            <w:szCs w:val="36"/>
                            <w:lang w:val="en-US" w:eastAsia="zh-CN"/>
                            <w14:textFill>
                              <w14:solidFill>
                                <w14:schemeClr w14:val="tx1">
                                  <w14:lumMod w14:val="50000"/>
                                  <w14:lumOff w14:val="50000"/>
                                </w14:schemeClr>
                              </w14:solidFill>
                            </w14:textFill>
                          </w:rPr>
                          <w:t>厄贝沙坦氢氯噻嗪片依从性与用药习惯</w:t>
                        </w:r>
                      </w:p>
                    </w:txbxContent>
                  </v:textbox>
                </v:shape>
              </v:group>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-341630</wp:posOffset>
                </wp:positionH>
                <wp:positionV relativeFrom="paragraph">
                  <wp:posOffset>8093710</wp:posOffset>
                </wp:positionV>
                <wp:extent cx="4959350" cy="89027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959350" cy="8902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F65262">
                            <w:pPr>
                              <w:keepNext w:val="0"/>
                              <w:keepLines w:val="0"/>
                              <w:pageBreakBefore w:val="0"/>
                              <w:widowControl w:val="0"/>
                              <w:kinsoku/>
                              <w:wordWrap/>
                              <w:overflowPunct/>
                              <w:topLinePunct w:val="0"/>
                              <w:autoSpaceDE/>
                              <w:autoSpaceDN/>
                              <w:bidi w:val="0"/>
                              <w:adjustRightInd/>
                              <w:snapToGrid/>
                              <w:jc w:val="left"/>
                              <w:textAlignment w:val="auto"/>
                              <w:rPr>
                                <w:rFonts w:hint="default"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t>国开（天津）信息科技有限公司</w:t>
                            </w: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br w:type="textWrapping"/>
                            </w: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t>2025.09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9pt;margin-top:637.3pt;height:70.1pt;width:390.5pt;z-index:251661312;mso-width-relative:page;mso-height-relative:page;" filled="f" stroked="f" coordsize="21600,21600" o:gfxdata="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H4fNGreAAAADQEAAA8AAAAAAAAAAQAgAAAAIgAA&#10;AGRycy9kb3ducmV2LnhtbFBLAQIUABQAAAAIAIdO4kC5cpo4OwIAAGYEAAAOAAAAAAAAAAEAIAAA&#10;AC0BAABkcnMvZTJvRG9jLnhtbFBLBQYAAAAABgAGAFkBAADaBQAAAAA=&#10;">
                <v:fill on="f" focussize="0,0"/>
                <v:stroke on="f" weight="0.5pt"/>
                <v:imagedata o:title=""/>
                <o:lock v:ext="edit" aspectratio="f"/>
                <v:textbox>
                  <w:txbxContent>
                    <w:p w14:paraId="1BF65262">
                      <w:pPr>
                        <w:keepNext w:val="0"/>
                        <w:keepLines w:val="0"/>
                        <w:pageBreakBefore w:val="0"/>
                        <w:widowControl w:val="0"/>
                        <w:kinsoku/>
                        <w:wordWrap/>
                        <w:overflowPunct/>
                        <w:topLinePunct w:val="0"/>
                        <w:autoSpaceDE/>
                        <w:autoSpaceDN/>
                        <w:bidi w:val="0"/>
                        <w:adjustRightInd/>
                        <w:snapToGrid/>
                        <w:jc w:val="left"/>
                        <w:textAlignment w:val="auto"/>
                        <w:rPr>
                          <w:rFonts w:hint="default"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pP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t>国开（天津）信息科技有限公司</w:t>
                      </w: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br w:type="textWrapping"/>
                      </w:r>
                      <w:r>
                        <w:rPr>
                          <w:rFonts w:hint="eastAsia" w:ascii="思源黑体 CN Medium" w:hAnsi="思源黑体 CN Medium" w:eastAsia="思源黑体 CN Medium" w:cs="思源黑体 CN Medium"/>
                          <w:color w:val="808080" w:themeColor="text1" w:themeTint="80"/>
                          <w:sz w:val="32"/>
                          <w:szCs w:val="32"/>
                          <w:lang w:val="en-US" w:eastAsia="zh-CN"/>
                          <w14:textFill>
                            <w14:solidFill>
                              <w14:schemeClr w14:val="tx1">
                                <w14:lumMod w14:val="50000"/>
                                <w14:lumOff w14:val="50000"/>
                              </w14:schemeClr>
                            </w14:solidFill>
                          </w14:textFill>
                        </w:rPr>
                        <w:t>2025.09</w:t>
                      </w:r>
                    </w:p>
                  </w:txbxContent>
                </v:textbox>
              </v:shape>
            </w:pict>
          </mc:Fallback>
        </mc:AlternateContent>
      </w:r>
      <w:r>
        <w:rPr>
          <w:rFonts w:hint="eastAsia" w:eastAsiaTheme="minorEastAsia"/>
          <w:lang w:eastAsia="zh-CN"/>
        </w:rPr>
        <w:drawing>
          <wp:anchor distT="0" distB="0" distL="114300" distR="114300" simplePos="0" relativeHeight="251659264" behindDoc="1" locked="0" layoutInCell="1" allowOverlap="1">
            <wp:simplePos x="0" y="0"/>
            <wp:positionH relativeFrom="column">
              <wp:posOffset>-1169035</wp:posOffset>
            </wp:positionH>
            <wp:positionV relativeFrom="page">
              <wp:posOffset>-13335</wp:posOffset>
            </wp:positionV>
            <wp:extent cx="7585710" cy="10727690"/>
            <wp:effectExtent l="0" t="0" r="8890" b="3810"/>
            <wp:wrapNone/>
            <wp:docPr id="1" name="图片 1" descr="F:\素材收集\封面\尺寸-封面3.jpg尺寸-封面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素材收集\封面\尺寸-封面3.jpg尺寸-封面3"/>
                    <pic:cNvPicPr>
                      <a:picLocks noChangeAspect="1"/>
                    </pic:cNvPicPr>
                  </pic:nvPicPr>
                  <pic:blipFill>
                    <a:blip r:embed="rId5"/>
                    <a:srcRect/>
                    <a:stretch>
                      <a:fillRect/>
                    </a:stretch>
                  </pic:blipFill>
                  <pic:spPr>
                    <a:xfrm>
                      <a:off x="0" y="0"/>
                      <a:ext cx="7585710" cy="10727690"/>
                    </a:xfrm>
                    <a:prstGeom prst="rect">
                      <a:avLst/>
                    </a:prstGeom>
                  </pic:spPr>
                </pic:pic>
              </a:graphicData>
            </a:graphic>
          </wp:anchor>
        </w:drawing>
      </w:r>
    </w:p>
    <w:p w14:paraId="0AAB41C9"/>
    <w:p w14:paraId="4CE5A149"/>
    <w:p w14:paraId="2AC79EE9"/>
    <w:p w14:paraId="5EDB332E"/>
    <w:p w14:paraId="792380D1"/>
    <w:p w14:paraId="4C7A8330"/>
    <w:p w14:paraId="2AF66033"/>
    <w:p w14:paraId="177C4290"/>
    <w:p w14:paraId="6A65DAB7"/>
    <w:p w14:paraId="6153E892"/>
    <w:p w14:paraId="1B2ED61C"/>
    <w:p w14:paraId="4FF88FD3"/>
    <w:p w14:paraId="3C3E6C3F"/>
    <w:p w14:paraId="434C282C"/>
    <w:p w14:paraId="48E853A9"/>
    <w:p w14:paraId="3C99D92B"/>
    <w:p w14:paraId="49A8C284"/>
    <w:p w14:paraId="49BC83E5"/>
    <w:p w14:paraId="43E4F8EB"/>
    <w:p w14:paraId="6DAB0D6E"/>
    <w:p w14:paraId="12AE03A5"/>
    <w:p w14:paraId="2D66AF36"/>
    <w:p w14:paraId="1B25A85F"/>
    <w:p w14:paraId="77709D90"/>
    <w:p w14:paraId="614D2A46"/>
    <w:p w14:paraId="205B8B37"/>
    <w:p w14:paraId="3DAA7851"/>
    <w:p w14:paraId="790CF145"/>
    <w:p w14:paraId="1FD7AA0E"/>
    <w:p w14:paraId="56400A4A"/>
    <w:p w14:paraId="77F06C89"/>
    <w:p w14:paraId="759C46C9"/>
    <w:p w14:paraId="7B0BD319"/>
    <w:p w14:paraId="29A59155"/>
    <w:p w14:paraId="1E1B1CF1"/>
    <w:p w14:paraId="393476AD"/>
    <w:p w14:paraId="6C7B8206"/>
    <w:p w14:paraId="7C6ACA2E"/>
    <w:p w14:paraId="44061025"/>
    <w:p w14:paraId="4805537C"/>
    <w:p w14:paraId="03AD4624"/>
    <w:p w14:paraId="38CBE3B1"/>
    <w:p w14:paraId="48EFDA26">
      <w:pPr>
        <w:sectPr>
          <w:pgSz w:w="11906" w:h="16838"/>
          <w:pgMar w:top="1440" w:right="1800" w:bottom="1440" w:left="1800" w:header="851" w:footer="992" w:gutter="0"/>
          <w:cols w:space="425" w:num="1"/>
          <w:docGrid w:type="lines" w:linePitch="312" w:charSpace="0"/>
        </w:sectPr>
      </w:pPr>
    </w:p>
    <w:p w14:paraId="294D1417">
      <w:pPr>
        <w:keepNext w:val="0"/>
        <w:keepLines w:val="0"/>
        <w:pageBreakBefore w:val="0"/>
        <w:widowControl w:val="0"/>
        <w:numPr>
          <w:ilvl w:val="0"/>
          <w:numId w:val="1"/>
        </w:numPr>
        <w:kinsoku/>
        <w:wordWrap/>
        <w:overflowPunct/>
        <w:topLinePunct w:val="0"/>
        <w:autoSpaceDE/>
        <w:autoSpaceDN/>
        <w:bidi w:val="0"/>
        <w:adjustRightInd/>
        <w:snapToGrid/>
        <w:spacing w:before="157" w:beforeLines="50"/>
        <w:ind w:left="0" w:leftChars="0" w:firstLine="0" w:firstLineChars="0"/>
        <w:textAlignment w:val="auto"/>
        <w:outlineLvl w:val="0"/>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引言</w:t>
      </w:r>
    </w:p>
    <w:p w14:paraId="042A08E9">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rPr>
      </w:pPr>
      <w:bookmarkStart w:id="0" w:name="_Toc22672"/>
      <w:r>
        <w:rPr>
          <w:rFonts w:hint="eastAsia" w:asciiTheme="minorEastAsia" w:hAnsiTheme="minorEastAsia" w:eastAsiaTheme="minorEastAsia" w:cstheme="minorEastAsia"/>
          <w:b/>
          <w:bCs/>
          <w:sz w:val="32"/>
          <w:szCs w:val="32"/>
        </w:rPr>
        <w:t>报告背景</w:t>
      </w:r>
      <w:bookmarkEnd w:id="0"/>
    </w:p>
    <w:p w14:paraId="3747A76C">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高血压作为需长期管理的慢性疾病，患者用药依从性与科学用药习惯直接决定血压控制效果与并发症风险。厄贝沙坦氢氯噻嗪片作为临床常用复方降压药，其在患者端的实际使用场景、认知程度及行为习惯，是优化治疗方案、提升临床价值的核心依据。为全面掌握患者服用该药品的核心诉求、认知盲区与行为偏差，精准识别影响用药依从性的关键因素，特开展本次专项调研。</w:t>
      </w:r>
    </w:p>
    <w:p w14:paraId="13A8FB36">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sz w:val="32"/>
          <w:szCs w:val="32"/>
        </w:rPr>
      </w:pPr>
      <w:r>
        <w:rPr>
          <w:rFonts w:hint="eastAsia" w:asciiTheme="minorEastAsia" w:hAnsiTheme="minorEastAsia" w:eastAsiaTheme="minorEastAsia" w:cstheme="minorEastAsia"/>
          <w:b/>
          <w:bCs/>
          <w:sz w:val="32"/>
          <w:szCs w:val="32"/>
        </w:rPr>
        <w:t>数据来源</w:t>
      </w:r>
    </w:p>
    <w:p w14:paraId="6BE51728">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调研面向河南省服用该药品的高血压患者</w:t>
      </w:r>
      <w:r>
        <w:rPr>
          <w:rFonts w:hint="eastAsia" w:asciiTheme="minorEastAsia" w:hAnsiTheme="minorEastAsia" w:cstheme="minorEastAsia"/>
          <w:sz w:val="28"/>
          <w:szCs w:val="28"/>
          <w:lang w:val="en-US" w:eastAsia="zh-CN"/>
        </w:rPr>
        <w:t>，</w:t>
      </w:r>
      <w:r>
        <w:rPr>
          <w:rFonts w:hint="eastAsia" w:asciiTheme="minorEastAsia" w:hAnsiTheme="minorEastAsia" w:eastAsiaTheme="minorEastAsia" w:cstheme="minorEastAsia"/>
          <w:sz w:val="28"/>
          <w:szCs w:val="28"/>
          <w:lang w:val="en-US" w:eastAsia="zh-CN"/>
        </w:rPr>
        <w:t>设计10项针对性问题，覆盖用药原因、血压监测、药物认知、饮食控制、剂量调整等核心维度。问卷收集时间为2025年9月1日至9月30日，共发放问卷</w:t>
      </w:r>
      <w:r>
        <w:rPr>
          <w:rFonts w:hint="eastAsia" w:asciiTheme="minorEastAsia" w:hAnsiTheme="minorEastAsia" w:cstheme="minorEastAsia"/>
          <w:sz w:val="28"/>
          <w:szCs w:val="28"/>
          <w:lang w:val="en-US" w:eastAsia="zh-CN"/>
        </w:rPr>
        <w:t>2250</w:t>
      </w:r>
      <w:r>
        <w:rPr>
          <w:rFonts w:hint="eastAsia" w:asciiTheme="minorEastAsia" w:hAnsiTheme="minorEastAsia" w:eastAsiaTheme="minorEastAsia" w:cstheme="minorEastAsia"/>
          <w:sz w:val="28"/>
          <w:szCs w:val="28"/>
          <w:lang w:val="en-US" w:eastAsia="zh-CN"/>
        </w:rPr>
        <w:t>份，回收有效问卷</w:t>
      </w:r>
      <w:r>
        <w:rPr>
          <w:rFonts w:hint="eastAsia" w:asciiTheme="minorEastAsia" w:hAnsiTheme="minorEastAsia" w:cstheme="minorEastAsia"/>
          <w:sz w:val="28"/>
          <w:szCs w:val="28"/>
          <w:lang w:val="en-US" w:eastAsia="zh-CN"/>
        </w:rPr>
        <w:t>2205</w:t>
      </w:r>
      <w:r>
        <w:rPr>
          <w:rFonts w:hint="eastAsia" w:asciiTheme="minorEastAsia" w:hAnsiTheme="minorEastAsia" w:eastAsiaTheme="minorEastAsia" w:cstheme="minorEastAsia"/>
          <w:sz w:val="28"/>
          <w:szCs w:val="28"/>
          <w:lang w:val="en-US" w:eastAsia="zh-CN"/>
        </w:rPr>
        <w:t>份。通过系统分析各选项占比及反馈倾向，客观呈现患者用药全流程的真实状态，为用药指导优化、健康宣教升级及患者管理完善提供数据支撑，助力提升该药品的临床治疗效果与患者健康获益。</w:t>
      </w:r>
    </w:p>
    <w:p w14:paraId="5908C757">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p>
    <w:p w14:paraId="3F8E0027">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p>
    <w:p w14:paraId="6606A63E">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p>
    <w:p w14:paraId="46559792">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p>
    <w:p w14:paraId="18022946">
      <w:pPr>
        <w:keepNext w:val="0"/>
        <w:keepLines w:val="0"/>
        <w:pageBreakBefore w:val="0"/>
        <w:widowControl w:val="0"/>
        <w:numPr>
          <w:ilvl w:val="0"/>
          <w:numId w:val="1"/>
        </w:numPr>
        <w:kinsoku/>
        <w:wordWrap/>
        <w:overflowPunct/>
        <w:topLinePunct w:val="0"/>
        <w:autoSpaceDE/>
        <w:autoSpaceDN/>
        <w:bidi w:val="0"/>
        <w:adjustRightInd/>
        <w:snapToGrid/>
        <w:spacing w:before="157" w:beforeLines="50"/>
        <w:ind w:left="0" w:leftChars="0" w:firstLine="0" w:firstLineChars="0"/>
        <w:textAlignment w:val="auto"/>
        <w:outlineLvl w:val="0"/>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数据信息分析</w:t>
      </w:r>
      <w:bookmarkStart w:id="1" w:name="_Toc24888"/>
    </w:p>
    <w:p w14:paraId="5FEE7A4B">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rPr>
      </w:pPr>
      <w:r>
        <w:rPr>
          <w:rFonts w:hint="eastAsia" w:asciiTheme="minorEastAsia" w:hAnsiTheme="minorEastAsia" w:eastAsiaTheme="minorEastAsia" w:cstheme="minorEastAsia"/>
          <w:b/>
          <w:bCs/>
          <w:sz w:val="32"/>
          <w:szCs w:val="32"/>
          <w:lang w:val="en-US" w:eastAsia="zh-CN"/>
        </w:rPr>
        <w:t xml:space="preserve"> </w:t>
      </w:r>
      <w:r>
        <w:rPr>
          <w:rFonts w:hint="eastAsia" w:asciiTheme="minorEastAsia" w:hAnsiTheme="minorEastAsia" w:eastAsiaTheme="minorEastAsia" w:cstheme="minorEastAsia"/>
          <w:b/>
          <w:bCs/>
          <w:sz w:val="32"/>
          <w:szCs w:val="32"/>
          <w:lang w:val="en-US" w:eastAsia="zh-CN"/>
        </w:rPr>
        <w:t>用药原因</w:t>
      </w:r>
      <w:bookmarkEnd w:id="1"/>
    </w:p>
    <w:p w14:paraId="0AC41BE3">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drawing>
          <wp:inline distT="0" distB="0" distL="114300" distR="114300">
            <wp:extent cx="5256530" cy="2659380"/>
            <wp:effectExtent l="0" t="0" r="0" b="0"/>
            <wp:docPr id="23" name="图表 23"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9105BC2">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患者服用该药品的核心需求集中于原发性高血压治疗，60%的患者因原发性高血压用药，这一高占比充分印证了该药品在基础高血压治疗中的核心地位，其复方协同降压机制获得临床与患者的广泛认可。</w:t>
      </w:r>
    </w:p>
    <w:p w14:paraId="0F985B4C">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27%的患者用于高血压合并其他疾病（如心脏病、糖尿病），提示该药品在合并症患者中的治疗需求显著，需加强此类人群的用药方案个体化指导。</w:t>
      </w:r>
    </w:p>
    <w:p w14:paraId="2070B1FE">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6%的患者用于充血性心力衰竭，7%因其他原因用药，反映出药品应用场景的多样性，需进一步细化特殊场景的用药安全性与疗效数据积累，为不同需求患者提供更精准的治疗支持。</w:t>
      </w:r>
    </w:p>
    <w:p w14:paraId="52B6A085">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2" w:name="_Toc31785"/>
      <w:r>
        <w:rPr>
          <w:rFonts w:hint="eastAsia" w:asciiTheme="minorEastAsia" w:hAnsiTheme="minorEastAsia" w:eastAsiaTheme="minorEastAsia" w:cstheme="minorEastAsia"/>
          <w:b/>
          <w:bCs/>
          <w:sz w:val="32"/>
          <w:szCs w:val="32"/>
          <w:lang w:val="en-US" w:eastAsia="zh-CN"/>
        </w:rPr>
        <w:t>血压监测频率</w:t>
      </w:r>
      <w:bookmarkEnd w:id="2"/>
    </w:p>
    <w:p w14:paraId="40DB1643">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b/>
          <w:bCs/>
          <w:sz w:val="28"/>
          <w:szCs w:val="28"/>
        </w:rPr>
      </w:pPr>
      <w:r>
        <w:rPr>
          <w:rFonts w:hint="eastAsia" w:asciiTheme="minorEastAsia" w:hAnsiTheme="minorEastAsia" w:eastAsiaTheme="minorEastAsia" w:cstheme="minorEastAsia"/>
          <w:sz w:val="28"/>
          <w:szCs w:val="28"/>
          <w:lang w:eastAsia="zh-CN"/>
        </w:rPr>
        <w:drawing>
          <wp:inline distT="0" distB="0" distL="114300" distR="114300">
            <wp:extent cx="5281295" cy="2546985"/>
            <wp:effectExtent l="0" t="0" r="0" b="0"/>
            <wp:docPr id="25" name="图表 25"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90E063D">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患者血压监测意识呈现阶梯式分布，41%的患者每周至少测量数次并记录，体现了这部分患者良好的健康管理意识，规律监测能实时反映血压控制效果，为用药调整提供可靠数据支撑。29%的患者每周测量1-2次，属常规监测范畴，但频率仍有提升空间，需通过便捷监测工具推广进一步强化。</w:t>
      </w:r>
    </w:p>
    <w:p w14:paraId="59841296">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22%的患者偶尔想起才测量，对血压波动的关注度不足，易忽视潜在风险；8%仅在身体不适时监测，缺乏主动预防意识，这类患者需通过健康宣教明确监测对血压管理的核心价值，逐步养成规律监测习惯。</w:t>
      </w:r>
    </w:p>
    <w:p w14:paraId="546F277E">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3" w:name="_Toc28869"/>
      <w:r>
        <w:rPr>
          <w:rFonts w:hint="eastAsia" w:asciiTheme="minorEastAsia" w:hAnsiTheme="minorEastAsia" w:eastAsiaTheme="minorEastAsia" w:cstheme="minorEastAsia"/>
          <w:b/>
          <w:bCs/>
          <w:sz w:val="32"/>
          <w:szCs w:val="32"/>
          <w:lang w:val="en-US" w:eastAsia="zh-CN"/>
        </w:rPr>
        <w:t>对降压作用的了解程度</w:t>
      </w:r>
      <w:bookmarkEnd w:id="3"/>
    </w:p>
    <w:p w14:paraId="21FA6617">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b/>
          <w:bCs/>
          <w:sz w:val="28"/>
          <w:szCs w:val="28"/>
        </w:rPr>
      </w:pPr>
      <w:r>
        <w:rPr>
          <w:rFonts w:hint="eastAsia" w:asciiTheme="minorEastAsia" w:hAnsiTheme="minorEastAsia" w:eastAsiaTheme="minorEastAsia" w:cstheme="minorEastAsia"/>
          <w:sz w:val="28"/>
          <w:szCs w:val="28"/>
          <w:lang w:eastAsia="zh-CN"/>
        </w:rPr>
        <w:drawing>
          <wp:inline distT="0" distB="0" distL="114300" distR="114300">
            <wp:extent cx="5362575" cy="2468245"/>
            <wp:effectExtent l="0" t="0" r="0" b="0"/>
            <wp:docPr id="28" name="图表 28"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893B61F">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数据显示，</w:t>
      </w:r>
      <w:bookmarkStart w:id="4" w:name="_Toc22040"/>
      <w:r>
        <w:rPr>
          <w:rFonts w:hint="eastAsia" w:asciiTheme="minorEastAsia" w:hAnsiTheme="minorEastAsia" w:eastAsiaTheme="minorEastAsia" w:cstheme="minorEastAsia"/>
          <w:sz w:val="28"/>
          <w:szCs w:val="28"/>
          <w:lang w:val="en-US" w:eastAsia="zh-CN"/>
        </w:rPr>
        <w:t>34%的患者清楚知晓</w:t>
      </w:r>
      <w:r>
        <w:rPr>
          <w:rFonts w:hint="eastAsia" w:asciiTheme="minorEastAsia" w:hAnsiTheme="minorEastAsia" w:cstheme="minorEastAsia"/>
          <w:sz w:val="28"/>
          <w:szCs w:val="28"/>
          <w:lang w:val="en-US" w:eastAsia="zh-CN"/>
        </w:rPr>
        <w:t>药品</w:t>
      </w:r>
      <w:r>
        <w:rPr>
          <w:rFonts w:hint="eastAsia" w:asciiTheme="minorEastAsia" w:hAnsiTheme="minorEastAsia" w:eastAsiaTheme="minorEastAsia" w:cstheme="minorEastAsia"/>
          <w:sz w:val="28"/>
          <w:szCs w:val="28"/>
          <w:lang w:val="en-US" w:eastAsia="zh-CN"/>
        </w:rPr>
        <w:t>需连续服用才能平稳控压，确认知是长期规范用药的基础，能有效避免擅自停药行为。16%的患者大致知道需要长期服用，但对具体机制了解不深，易受主观感受影响用药行为。</w:t>
      </w:r>
    </w:p>
    <w:p w14:paraId="6686C523">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22%的患者存在“血压正常即可停药”的错误认知，这类认知误区可能导致用药中断、血压反弹，需重点开展针对性宣教；28%的患者不太关心作用原理，用药依从性易受外界因素干扰，需通过通俗化科普提升其对药物治疗必要性的认知。</w:t>
      </w:r>
    </w:p>
    <w:p w14:paraId="25547EE4">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饮食控制情况</w:t>
      </w:r>
      <w:bookmarkEnd w:id="4"/>
    </w:p>
    <w:p w14:paraId="0119785D">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b/>
          <w:bCs/>
          <w:sz w:val="28"/>
          <w:szCs w:val="28"/>
        </w:rPr>
      </w:pPr>
      <w:r>
        <w:rPr>
          <w:rFonts w:hint="eastAsia" w:asciiTheme="minorEastAsia" w:hAnsiTheme="minorEastAsia" w:eastAsiaTheme="minorEastAsia" w:cstheme="minorEastAsia"/>
          <w:sz w:val="28"/>
          <w:szCs w:val="28"/>
          <w:lang w:eastAsia="zh-CN"/>
        </w:rPr>
        <w:drawing>
          <wp:inline distT="0" distB="0" distL="114300" distR="114300">
            <wp:extent cx="5321935" cy="2653665"/>
            <wp:effectExtent l="0" t="0" r="0" b="0"/>
            <wp:docPr id="50" name="图表 50"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64574BA">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t>饮食控制作为血压管理的重要环节，患者执行情况整体不佳。仅16%的患者能完全避免饮酒或高盐饮食，展现出极强的自我管理能力。39%的患者偶尔少量摄入，虽未完全失控，但仍会影响降压效果，需通过饮食指导帮助其掌握更灵活的控制方法。</w:t>
      </w:r>
    </w:p>
    <w:p w14:paraId="22AF212E">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t>20%的患者经常饮酒或高盐饮食，25%的患者未注意饮食习惯，两类人群合计占比45%，饮食管理与用药治疗的配合度严重不足，可能直接降低药效、增加并发症风险，需强化饮食对血压控制影响的宣教与干预。</w:t>
      </w:r>
    </w:p>
    <w:p w14:paraId="678F2B63">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5" w:name="_Toc25180"/>
      <w:r>
        <w:rPr>
          <w:rFonts w:hint="eastAsia" w:asciiTheme="minorEastAsia" w:hAnsiTheme="minorEastAsia" w:eastAsiaTheme="minorEastAsia" w:cstheme="minorEastAsia"/>
          <w:b/>
          <w:bCs/>
          <w:sz w:val="32"/>
          <w:szCs w:val="32"/>
          <w:lang w:val="en-US" w:eastAsia="zh-CN"/>
        </w:rPr>
        <w:t>用药知识获取途径</w:t>
      </w:r>
      <w:bookmarkEnd w:id="5"/>
    </w:p>
    <w:p w14:paraId="442E27F3">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b/>
          <w:bCs/>
          <w:sz w:val="30"/>
          <w:szCs w:val="30"/>
        </w:rPr>
      </w:pPr>
      <w:r>
        <w:rPr>
          <w:rFonts w:hint="eastAsia" w:asciiTheme="minorEastAsia" w:hAnsiTheme="minorEastAsia" w:eastAsiaTheme="minorEastAsia" w:cstheme="minorEastAsia"/>
          <w:sz w:val="28"/>
          <w:szCs w:val="28"/>
          <w:lang w:eastAsia="zh-CN"/>
        </w:rPr>
        <w:drawing>
          <wp:inline distT="0" distB="0" distL="114300" distR="114300">
            <wp:extent cx="5287645" cy="2746375"/>
            <wp:effectExtent l="0" t="0" r="0" b="0"/>
            <wp:docPr id="53" name="图表 53"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7803BDDA">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从数据看，</w:t>
      </w:r>
      <w:r>
        <w:rPr>
          <w:rFonts w:hint="eastAsia" w:asciiTheme="minorEastAsia" w:hAnsiTheme="minorEastAsia" w:eastAsiaTheme="minorEastAsia" w:cstheme="minorEastAsia"/>
          <w:sz w:val="28"/>
          <w:szCs w:val="28"/>
        </w:rPr>
        <w:t>患者用药知识获取渠道以自主学习为主，44%的患者通过阅读药品说明书获取信息，说明说明书是患者自主了解用药细节的核心载体，其内容的可读性与指导性至关重要。31%的患者主要听从医生或药师的详细指导，体现了对专业人士的信任，这类渠道能提供个性化用药建议，是规范用药的重要保障。20%的患者通过网络或病友咨询获取信息，该渠道信息准确性参差不齐，存在误导风险；5%的患者很少主动获取相关信息，健康管理意识薄弱，需通过被动宣教（如随访时科普）提升其用药知识储备。</w:t>
      </w:r>
    </w:p>
    <w:p w14:paraId="17F6D5A4">
      <w:pPr>
        <w:keepNext w:val="0"/>
        <w:keepLines w:val="0"/>
        <w:pageBreakBefore w:val="0"/>
        <w:widowControl w:val="0"/>
        <w:numPr>
          <w:ilvl w:val="0"/>
          <w:numId w:val="2"/>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6" w:name="_Toc14275"/>
      <w:r>
        <w:rPr>
          <w:rFonts w:hint="eastAsia" w:asciiTheme="minorEastAsia" w:hAnsiTheme="minorEastAsia" w:eastAsiaTheme="minorEastAsia" w:cstheme="minorEastAsia"/>
          <w:b/>
          <w:bCs/>
          <w:sz w:val="32"/>
          <w:szCs w:val="32"/>
          <w:lang w:val="en-US" w:eastAsia="zh-CN"/>
        </w:rPr>
        <w:t>剂量调整情况</w:t>
      </w:r>
      <w:bookmarkEnd w:id="6"/>
    </w:p>
    <w:p w14:paraId="58518120">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heme="minorEastAsia" w:hAnsiTheme="minorEastAsia" w:eastAsiaTheme="minorEastAsia" w:cstheme="minorEastAsia"/>
          <w:b/>
          <w:bCs/>
          <w:sz w:val="30"/>
          <w:szCs w:val="30"/>
        </w:rPr>
      </w:pPr>
      <w:r>
        <w:rPr>
          <w:rFonts w:hint="eastAsia" w:asciiTheme="minorEastAsia" w:hAnsiTheme="minorEastAsia" w:eastAsiaTheme="minorEastAsia" w:cstheme="minorEastAsia"/>
          <w:sz w:val="28"/>
          <w:szCs w:val="28"/>
          <w:lang w:eastAsia="zh-CN"/>
        </w:rPr>
        <w:drawing>
          <wp:inline distT="0" distB="0" distL="114300" distR="114300">
            <wp:extent cx="5316220" cy="2584450"/>
            <wp:effectExtent l="0" t="0" r="0" b="0"/>
            <wp:docPr id="55" name="图表 55"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C6316E4">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数据显示，患者剂量调整行为缺乏科学指导，38%的患者能完全按照医生开具的剂量服用，展现出优秀的用药依从性，是血压稳定控制的关键。32%的患者在头晕或不舒服时会自行少吃，22%的患者在血压控制不佳时自行加量，两类人群合计占比54%，反映出多数患者存在自主调整剂量的行为，可能导致血压波动或引发不良反应。8%的患者经常根据自身感觉调整剂量，用药行为极不规范，需通过强化用药安全宣教，明确自行调量的危害，引导患者在医生指导下调整剂量。</w:t>
      </w:r>
    </w:p>
    <w:p w14:paraId="2CDCC6D3">
      <w:pPr>
        <w:keepNext w:val="0"/>
        <w:keepLines w:val="0"/>
        <w:pageBreakBefore w:val="0"/>
        <w:widowControl w:val="0"/>
        <w:numPr>
          <w:ilvl w:val="0"/>
          <w:numId w:val="3"/>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b/>
          <w:bCs/>
          <w:sz w:val="32"/>
          <w:szCs w:val="32"/>
          <w:lang w:val="en-US" w:eastAsia="zh-CN"/>
        </w:rPr>
        <w:t>服药提醒方式</w:t>
      </w:r>
      <w:r>
        <w:rPr>
          <w:rFonts w:hint="eastAsia" w:asciiTheme="minorEastAsia" w:hAnsiTheme="minorEastAsia" w:eastAsiaTheme="minorEastAsia" w:cstheme="minorEastAsia"/>
          <w:b/>
          <w:bCs/>
          <w:sz w:val="30"/>
          <w:szCs w:val="30"/>
        </w:rPr>
        <w:br w:type="textWrapping"/>
      </w:r>
      <w:r>
        <w:rPr>
          <w:rFonts w:hint="eastAsia" w:asciiTheme="minorEastAsia" w:hAnsiTheme="minorEastAsia" w:eastAsiaTheme="minorEastAsia" w:cstheme="minorEastAsia"/>
          <w:sz w:val="28"/>
          <w:szCs w:val="28"/>
          <w:lang w:eastAsia="zh-CN"/>
        </w:rPr>
        <w:drawing>
          <wp:inline distT="0" distB="0" distL="114300" distR="114300">
            <wp:extent cx="5311140" cy="2538730"/>
            <wp:effectExtent l="0" t="0" r="0" b="0"/>
            <wp:docPr id="56" name="图表 56"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68D3E7B">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val="en-US" w:eastAsia="zh-CN"/>
        </w:rPr>
        <w:t>从</w:t>
      </w:r>
      <w:r>
        <w:rPr>
          <w:rFonts w:hint="eastAsia" w:asciiTheme="minorEastAsia" w:hAnsiTheme="minorEastAsia" w:eastAsiaTheme="minorEastAsia" w:cstheme="minorEastAsia"/>
          <w:sz w:val="28"/>
          <w:szCs w:val="28"/>
        </w:rPr>
        <w:t>患者服药提醒方式</w:t>
      </w:r>
      <w:r>
        <w:rPr>
          <w:rFonts w:hint="eastAsia" w:asciiTheme="minorEastAsia" w:hAnsiTheme="minorEastAsia" w:cstheme="minorEastAsia"/>
          <w:sz w:val="28"/>
          <w:szCs w:val="28"/>
          <w:lang w:val="en-US" w:eastAsia="zh-CN"/>
        </w:rPr>
        <w:t>看，</w:t>
      </w:r>
      <w:r>
        <w:rPr>
          <w:rFonts w:hint="eastAsia" w:asciiTheme="minorEastAsia" w:hAnsiTheme="minorEastAsia" w:eastAsiaTheme="minorEastAsia" w:cstheme="minorEastAsia"/>
          <w:sz w:val="28"/>
          <w:szCs w:val="28"/>
        </w:rPr>
        <w:t>47%的患者依靠日常活动前后的习惯服药，这种方式自然融入生活，可持续性强，但易受活动变动影响。15%的患者使用药盒或手机闹钟等工具提醒，精准性高，能有效降低漏服风险；14%的患者依赖家人提醒，家庭支持成为用药依从性的重要保障。24%的患者仅靠记忆服药，这类方式漏服风险最高，</w:t>
      </w:r>
      <w:r>
        <w:rPr>
          <w:rFonts w:hint="eastAsia" w:asciiTheme="minorEastAsia" w:hAnsiTheme="minorEastAsia" w:cstheme="minorEastAsia"/>
          <w:sz w:val="28"/>
          <w:szCs w:val="28"/>
          <w:lang w:val="en-US" w:eastAsia="zh-CN"/>
        </w:rPr>
        <w:t>需要</w:t>
      </w:r>
      <w:r>
        <w:rPr>
          <w:rFonts w:hint="eastAsia" w:asciiTheme="minorEastAsia" w:hAnsiTheme="minorEastAsia" w:eastAsiaTheme="minorEastAsia" w:cstheme="minorEastAsia"/>
          <w:sz w:val="28"/>
          <w:szCs w:val="28"/>
        </w:rPr>
        <w:t>通过工具提醒或习惯养成等方式优化，提升服药的规律性与准确性</w:t>
      </w:r>
      <w:r>
        <w:rPr>
          <w:rFonts w:hint="eastAsia" w:asciiTheme="minorEastAsia" w:hAnsiTheme="minorEastAsia" w:cstheme="minorEastAsia"/>
          <w:sz w:val="28"/>
          <w:szCs w:val="28"/>
          <w:lang w:eastAsia="zh-CN"/>
        </w:rPr>
        <w:t>。</w:t>
      </w:r>
    </w:p>
    <w:p w14:paraId="439F55EF">
      <w:pPr>
        <w:keepNext w:val="0"/>
        <w:keepLines w:val="0"/>
        <w:pageBreakBefore w:val="0"/>
        <w:widowControl w:val="0"/>
        <w:numPr>
          <w:ilvl w:val="0"/>
          <w:numId w:val="4"/>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0"/>
          <w:szCs w:val="30"/>
        </w:rPr>
      </w:pPr>
      <w:r>
        <w:rPr>
          <w:rFonts w:hint="eastAsia" w:asciiTheme="minorEastAsia" w:hAnsiTheme="minorEastAsia" w:eastAsiaTheme="minorEastAsia" w:cstheme="minorEastAsia"/>
          <w:b/>
          <w:bCs/>
          <w:sz w:val="32"/>
          <w:szCs w:val="32"/>
          <w:lang w:val="en-US" w:eastAsia="zh-CN"/>
        </w:rPr>
        <w:t>联合用药情况</w:t>
      </w:r>
      <w:r>
        <w:rPr>
          <w:rFonts w:hint="eastAsia" w:asciiTheme="minorEastAsia" w:hAnsiTheme="minorEastAsia" w:eastAsiaTheme="minorEastAsia" w:cstheme="minorEastAsia"/>
          <w:b/>
          <w:bCs/>
          <w:sz w:val="30"/>
          <w:szCs w:val="30"/>
        </w:rPr>
        <w:br w:type="textWrapping"/>
      </w:r>
      <w:r>
        <w:rPr>
          <w:rFonts w:hint="eastAsia" w:asciiTheme="minorEastAsia" w:hAnsiTheme="minorEastAsia" w:eastAsiaTheme="minorEastAsia" w:cstheme="minorEastAsia"/>
          <w:sz w:val="28"/>
          <w:szCs w:val="28"/>
          <w:lang w:eastAsia="zh-CN"/>
        </w:rPr>
        <w:drawing>
          <wp:inline distT="0" distB="0" distL="114300" distR="114300">
            <wp:extent cx="5276850" cy="2595880"/>
            <wp:effectExtent l="0" t="0" r="0" b="0"/>
            <wp:docPr id="59" name="图表 59"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4B19976">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t>患者联合用药场景较为普遍，44%的患者仅服用该种降压药，说明该药品单药治疗效果得到多数患者认可，能满足单纯性高血压患者的治疗需求。28%的患者服用其他医生开具的降压药，属临床规范联合用药范畴，需关注不同药物间的协同效果。</w:t>
      </w:r>
    </w:p>
    <w:p w14:paraId="414898A4">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t>16%的患者自行服用保健品，12%的患者既服用其他医生开的药也自行服用保健品，这两类人群存在潜在的药物相互作用风险，需通过健康宣教强调联合用药前咨询医生或药师的必要性，避免自行联用带来的安全隐患。</w:t>
      </w:r>
    </w:p>
    <w:p w14:paraId="7BA74BC9">
      <w:pPr>
        <w:keepNext w:val="0"/>
        <w:keepLines w:val="0"/>
        <w:pageBreakBefore w:val="0"/>
        <w:widowControl w:val="0"/>
        <w:numPr>
          <w:ilvl w:val="0"/>
          <w:numId w:val="4"/>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7" w:name="_Toc31781"/>
      <w:r>
        <w:rPr>
          <w:rFonts w:hint="eastAsia" w:asciiTheme="minorEastAsia" w:hAnsiTheme="minorEastAsia" w:eastAsiaTheme="minorEastAsia" w:cstheme="minorEastAsia"/>
          <w:b/>
          <w:bCs/>
          <w:sz w:val="32"/>
          <w:szCs w:val="32"/>
          <w:lang w:val="en-US" w:eastAsia="zh-CN"/>
        </w:rPr>
        <w:t>健康讲座参与情况</w:t>
      </w:r>
      <w:bookmarkEnd w:id="7"/>
    </w:p>
    <w:p w14:paraId="0573161C">
      <w:pPr>
        <w:keepNext w:val="0"/>
        <w:keepLines w:val="0"/>
        <w:pageBreakBefore w:val="0"/>
        <w:widowControl w:val="0"/>
        <w:kinsoku/>
        <w:wordWrap/>
        <w:overflowPunct/>
        <w:topLinePunct w:val="0"/>
        <w:autoSpaceDE/>
        <w:autoSpaceDN/>
        <w:bidi w:val="0"/>
        <w:adjustRightInd/>
        <w:snapToGrid/>
        <w:spacing w:before="157" w:beforeLines="50"/>
        <w:textAlignment w:val="auto"/>
        <w:rPr>
          <w:rFonts w:hint="eastAsia" w:asciiTheme="minorEastAsia" w:hAnsiTheme="minorEastAsia" w:eastAsiaTheme="minorEastAsia" w:cstheme="minorEastAsia"/>
          <w:b/>
          <w:bCs/>
          <w:sz w:val="30"/>
          <w:szCs w:val="30"/>
        </w:rPr>
      </w:pPr>
      <w:r>
        <w:rPr>
          <w:rFonts w:hint="eastAsia" w:asciiTheme="minorEastAsia" w:hAnsiTheme="minorEastAsia" w:eastAsiaTheme="minorEastAsia" w:cstheme="minorEastAsia"/>
          <w:sz w:val="28"/>
          <w:szCs w:val="28"/>
          <w:lang w:eastAsia="zh-CN"/>
        </w:rPr>
        <w:drawing>
          <wp:inline distT="0" distB="0" distL="114300" distR="114300">
            <wp:extent cx="5362575" cy="2449830"/>
            <wp:effectExtent l="0" t="0" r="0" b="0"/>
            <wp:docPr id="61" name="图表 61"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601DFEA">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参与</w:t>
      </w:r>
      <w:r>
        <w:rPr>
          <w:rFonts w:hint="eastAsia" w:asciiTheme="minorEastAsia" w:hAnsiTheme="minorEastAsia" w:eastAsiaTheme="minorEastAsia" w:cstheme="minorEastAsia"/>
          <w:sz w:val="28"/>
          <w:szCs w:val="28"/>
        </w:rPr>
        <w:t>健康宣教的患者整体偏</w:t>
      </w:r>
      <w:r>
        <w:rPr>
          <w:rFonts w:hint="eastAsia" w:asciiTheme="minorEastAsia" w:hAnsiTheme="minorEastAsia" w:cstheme="minorEastAsia"/>
          <w:sz w:val="28"/>
          <w:szCs w:val="28"/>
          <w:lang w:val="en-US" w:eastAsia="zh-CN"/>
        </w:rPr>
        <w:t>少</w:t>
      </w:r>
      <w:r>
        <w:rPr>
          <w:rFonts w:hint="eastAsia" w:asciiTheme="minorEastAsia" w:hAnsiTheme="minorEastAsia" w:eastAsiaTheme="minorEastAsia" w:cstheme="minorEastAsia"/>
          <w:sz w:val="28"/>
          <w:szCs w:val="28"/>
        </w:rPr>
        <w:t>，21%的患者参加过多次相关健康讲座，21%参加过1-2次，两类患者合计占比42%，体现了部分患者主动学习健康知识的意愿。14%的患者从未参加但有兴趣，显示出潜在的宣教需求待挖掘。44%的患者从未参加且无兴趣，这一高占比反映出当前健康讲座的形式或内容未能契合患者需求，需创新宣教模式，采用线上直播、社区座谈、案例分享等多样化形式，降低参与门槛，提升患者参与兴趣。</w:t>
      </w:r>
    </w:p>
    <w:p w14:paraId="1444314A">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b/>
          <w:bCs/>
          <w:sz w:val="32"/>
          <w:szCs w:val="32"/>
          <w:lang w:val="en-US" w:eastAsia="zh-CN"/>
        </w:rPr>
        <w:t>提高依从性的方式</w:t>
      </w:r>
      <w:r>
        <w:rPr>
          <w:rFonts w:hint="eastAsia" w:asciiTheme="minorEastAsia" w:hAnsiTheme="minorEastAsia" w:eastAsiaTheme="minorEastAsia" w:cstheme="minorEastAsia"/>
          <w:b/>
          <w:bCs/>
          <w:sz w:val="30"/>
          <w:szCs w:val="30"/>
        </w:rPr>
        <w:br w:type="textWrapping"/>
      </w:r>
      <w:r>
        <w:rPr>
          <w:rFonts w:hint="eastAsia" w:asciiTheme="minorEastAsia" w:hAnsiTheme="minorEastAsia" w:eastAsiaTheme="minorEastAsia" w:cstheme="minorEastAsia"/>
          <w:sz w:val="28"/>
          <w:szCs w:val="28"/>
          <w:lang w:eastAsia="zh-CN"/>
        </w:rPr>
        <w:drawing>
          <wp:inline distT="0" distB="0" distL="114300" distR="114300">
            <wp:extent cx="5362575" cy="2360930"/>
            <wp:effectExtent l="0" t="0" r="0" b="0"/>
            <wp:docPr id="63" name="图表 63" descr="7b0a202020202263686172745265734964223a20223230343736343130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45C3C93">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从调研结果看，</w:t>
      </w:r>
      <w:r>
        <w:rPr>
          <w:rFonts w:hint="eastAsia" w:asciiTheme="minorEastAsia" w:hAnsiTheme="minorEastAsia" w:eastAsiaTheme="minorEastAsia" w:cstheme="minorEastAsia"/>
          <w:sz w:val="28"/>
          <w:szCs w:val="28"/>
        </w:rPr>
        <w:t>患者对提高用药依从性的需求方向明确，38%的患者希望获得家人更多的提醒与监督，说明家庭支持是提升依从性的关键因素，需充分调动家属参与患者用药管理。25%的患者期望简化用药方案（如减少服药次数），反映出用药便捷性对依从性的重要影响；22%的患者希望更深入了解药物，知晓其重要性，提示需加强用药知识科普；15%的患者需要医生或药师更详细的指导与定期随访，专业支持能有效解决用药疑问、纠正不规范行为，为依从性提升提供保障。</w:t>
      </w:r>
    </w:p>
    <w:p w14:paraId="07790A36">
      <w:pPr>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br w:type="page"/>
      </w:r>
    </w:p>
    <w:p w14:paraId="3B4A5883">
      <w:pPr>
        <w:keepNext w:val="0"/>
        <w:keepLines w:val="0"/>
        <w:pageBreakBefore w:val="0"/>
        <w:widowControl w:val="0"/>
        <w:numPr>
          <w:ilvl w:val="0"/>
          <w:numId w:val="1"/>
        </w:numPr>
        <w:kinsoku/>
        <w:wordWrap/>
        <w:overflowPunct/>
        <w:topLinePunct w:val="0"/>
        <w:autoSpaceDE/>
        <w:autoSpaceDN/>
        <w:bidi w:val="0"/>
        <w:adjustRightInd/>
        <w:snapToGrid/>
        <w:spacing w:before="157" w:beforeLines="50"/>
        <w:ind w:left="0" w:leftChars="0" w:firstLine="0" w:firstLineChars="0"/>
        <w:textAlignment w:val="auto"/>
        <w:outlineLvl w:val="0"/>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反馈意见分析</w:t>
      </w:r>
    </w:p>
    <w:p w14:paraId="7204197F">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8" w:name="_Toc1964"/>
      <w:r>
        <w:rPr>
          <w:rFonts w:hint="eastAsia" w:asciiTheme="minorEastAsia" w:hAnsiTheme="minorEastAsia" w:eastAsiaTheme="minorEastAsia" w:cstheme="minorEastAsia"/>
          <w:b/>
          <w:bCs/>
          <w:sz w:val="32"/>
          <w:szCs w:val="32"/>
          <w:lang w:val="en-US" w:eastAsia="zh-CN"/>
        </w:rPr>
        <w:t>积极反馈</w:t>
      </w:r>
      <w:bookmarkEnd w:id="8"/>
    </w:p>
    <w:p w14:paraId="6C2E6701">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首先，</w:t>
      </w:r>
      <w:r>
        <w:rPr>
          <w:rFonts w:hint="eastAsia" w:asciiTheme="minorEastAsia" w:hAnsiTheme="minorEastAsia" w:eastAsiaTheme="minorEastAsia" w:cstheme="minorEastAsia"/>
          <w:sz w:val="28"/>
          <w:szCs w:val="28"/>
        </w:rPr>
        <w:t>患者对厄贝沙坦氢氯噻嗪片的核心治疗价值认可度较高，药品在基础高血压治疗中展现出明确的适配性，成为多数患者控制血压的主要选择，其疗效与安全性获得了临床实践的初步验证。</w:t>
      </w:r>
    </w:p>
    <w:p w14:paraId="15D1C89B">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其次，</w:t>
      </w:r>
      <w:r>
        <w:rPr>
          <w:rFonts w:hint="eastAsia" w:asciiTheme="minorEastAsia" w:hAnsiTheme="minorEastAsia" w:eastAsiaTheme="minorEastAsia" w:cstheme="minorEastAsia"/>
          <w:sz w:val="28"/>
          <w:szCs w:val="28"/>
        </w:rPr>
        <w:t>在健康管理意识层面，部分患者已形成良好的基础习惯，不仅能主动监测血压并记录变化，为医生调整治疗方案提供参考，还能严格遵循医嘱服用剂量，避免因自行调整用药导致的风险，为血压稳定控制奠定了重要基础。</w:t>
      </w:r>
    </w:p>
    <w:p w14:paraId="77A84DDB">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再者，</w:t>
      </w:r>
      <w:r>
        <w:rPr>
          <w:rFonts w:hint="eastAsia" w:asciiTheme="minorEastAsia" w:hAnsiTheme="minorEastAsia" w:eastAsiaTheme="minorEastAsia" w:cstheme="minorEastAsia"/>
          <w:sz w:val="28"/>
          <w:szCs w:val="28"/>
        </w:rPr>
        <w:t>用药知识获取渠道呈现出 “自主学习 + 专业依赖” 的良性格局，多数患者会通过药品说明书自主了解用药细节，同时也重视医生或药师的专业指导，两类核心渠道有效覆盖了患者的信息需求，便于后续针对性优化信息传递方式。</w:t>
      </w:r>
    </w:p>
    <w:p w14:paraId="737CDB80">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rPr>
      </w:pPr>
      <w:r>
        <w:rPr>
          <w:rFonts w:hint="eastAsia" w:asciiTheme="minorEastAsia" w:hAnsiTheme="minorEastAsia" w:cstheme="minorEastAsia"/>
          <w:sz w:val="28"/>
          <w:szCs w:val="28"/>
          <w:lang w:val="en-US" w:eastAsia="zh-CN"/>
        </w:rPr>
        <w:t>最后</w:t>
      </w:r>
      <w:r>
        <w:rPr>
          <w:rFonts w:hint="eastAsia" w:asciiTheme="minorEastAsia" w:hAnsiTheme="minorEastAsia" w:eastAsiaTheme="minorEastAsia" w:cstheme="minorEastAsia"/>
          <w:sz w:val="28"/>
          <w:szCs w:val="28"/>
        </w:rPr>
        <w:t>，患者对提升用药依从性的需求方向清晰，明确了家庭支持、方案简化、知识科普等关键发力点，这种主动表达需求的态度，为后续制定切实可行的干预措施提供了有利条件，也反映出患者对规范治疗、改善健康的积极意愿。</w:t>
      </w:r>
    </w:p>
    <w:p w14:paraId="1102B13B">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bookmarkStart w:id="9" w:name="_Toc10181"/>
      <w:r>
        <w:rPr>
          <w:rFonts w:hint="eastAsia" w:asciiTheme="minorEastAsia" w:hAnsiTheme="minorEastAsia" w:eastAsiaTheme="minorEastAsia" w:cstheme="minorEastAsia"/>
          <w:b/>
          <w:bCs/>
          <w:sz w:val="32"/>
          <w:szCs w:val="32"/>
          <w:lang w:val="en-US" w:eastAsia="zh-CN"/>
        </w:rPr>
        <w:t>待改进反馈</w:t>
      </w:r>
      <w:bookmarkEnd w:id="9"/>
    </w:p>
    <w:p w14:paraId="04BE8E35">
      <w:pPr>
        <w:keepNext w:val="0"/>
        <w:keepLines w:val="0"/>
        <w:pageBreakBefore w:val="0"/>
        <w:widowControl w:val="0"/>
        <w:numPr>
          <w:ilvl w:val="0"/>
          <w:numId w:val="6"/>
        </w:numPr>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t>当前患者在用药认知层面仍存在明显短板，部分患者对药物降压的核心原理理解不足，甚至存在 “血压正常即可停药” 的错误观念，这种认知偏差容易导致用药中断、血压反弹，直接影响治疗效果。</w:t>
      </w:r>
    </w:p>
    <w:p w14:paraId="5A719FE5">
      <w:pPr>
        <w:keepNext w:val="0"/>
        <w:keepLines w:val="0"/>
        <w:pageBreakBefore w:val="0"/>
        <w:widowControl w:val="0"/>
        <w:numPr>
          <w:ilvl w:val="0"/>
          <w:numId w:val="6"/>
        </w:numPr>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t>饮食管理作为血压控制的重要辅助手段，整体执行情况不佳，多数患者未能主动规避饮酒、高盐饮食等不利于血压控制的习惯，饮食干预与药物治疗的配合度较低，可能削弱药效并增加并发症风险。</w:t>
      </w:r>
    </w:p>
    <w:p w14:paraId="120F9E6F">
      <w:pPr>
        <w:keepNext w:val="0"/>
        <w:keepLines w:val="0"/>
        <w:pageBreakBefore w:val="0"/>
        <w:widowControl w:val="0"/>
        <w:numPr>
          <w:ilvl w:val="0"/>
          <w:numId w:val="6"/>
        </w:numPr>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t>用药依从性方面，不规范行为较为普遍，部分患者会根据自身主观感受随意调整剂量，或仅靠记忆服药，不仅容易引发血压波动，还可能增加不良反应发生概率。</w:t>
      </w:r>
    </w:p>
    <w:p w14:paraId="204F10F1">
      <w:pPr>
        <w:keepNext w:val="0"/>
        <w:keepLines w:val="0"/>
        <w:pageBreakBefore w:val="0"/>
        <w:widowControl w:val="0"/>
        <w:numPr>
          <w:ilvl w:val="0"/>
          <w:numId w:val="6"/>
        </w:numPr>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t>健康宣教的吸引力与实效性不足，部分患者对用药相关的健康讲座缺乏兴趣，现有宣教形式或内容未能契合患者实际需求，导致健康知识传递效率低，难以有效填补患者的认知盲区。</w:t>
      </w:r>
    </w:p>
    <w:p w14:paraId="183961EA">
      <w:pPr>
        <w:keepNext w:val="0"/>
        <w:keepLines w:val="0"/>
        <w:pageBreakBefore w:val="0"/>
        <w:widowControl w:val="0"/>
        <w:numPr>
          <w:ilvl w:val="0"/>
          <w:numId w:val="6"/>
        </w:numPr>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eastAsiaTheme="minorEastAsia" w:cstheme="minorEastAsia"/>
          <w:sz w:val="28"/>
          <w:szCs w:val="28"/>
          <w:lang w:eastAsia="zh-CN"/>
        </w:rPr>
      </w:pPr>
      <w:r>
        <w:rPr>
          <w:rFonts w:hint="eastAsia" w:asciiTheme="minorEastAsia" w:hAnsiTheme="minorEastAsia" w:eastAsiaTheme="minorEastAsia" w:cstheme="minorEastAsia"/>
          <w:sz w:val="28"/>
          <w:szCs w:val="28"/>
          <w:lang w:eastAsia="zh-CN"/>
        </w:rPr>
        <w:t>联合用药安全风险不容忽视，部分患者在未咨询医生的情况下自行联用其他药物或保健品，存在潜在的药物相互作用隐患，需重点加强风险提示与规范引导。</w:t>
      </w:r>
    </w:p>
    <w:p w14:paraId="7109F21A">
      <w:pPr>
        <w:keepNext w:val="0"/>
        <w:keepLines w:val="0"/>
        <w:pageBreakBefore w:val="0"/>
        <w:widowControl w:val="0"/>
        <w:kinsoku/>
        <w:wordWrap/>
        <w:overflowPunct/>
        <w:topLinePunct w:val="0"/>
        <w:autoSpaceDE/>
        <w:autoSpaceDN/>
        <w:bidi w:val="0"/>
        <w:adjustRightInd/>
        <w:snapToGrid/>
        <w:spacing w:before="157" w:beforeLines="50"/>
        <w:textAlignment w:val="auto"/>
        <w:rPr>
          <w:rFonts w:hint="eastAsia" w:asciiTheme="minorEastAsia" w:hAnsiTheme="minorEastAsia" w:eastAsiaTheme="minorEastAsia" w:cstheme="minorEastAsia"/>
          <w:sz w:val="28"/>
          <w:szCs w:val="28"/>
        </w:rPr>
      </w:pPr>
      <w:r>
        <w:rPr>
          <w:rFonts w:hint="eastAsia" w:asciiTheme="minorEastAsia" w:hAnsiTheme="minorEastAsia" w:eastAsiaTheme="minorEastAsia" w:cstheme="minorEastAsia"/>
          <w:sz w:val="28"/>
          <w:szCs w:val="28"/>
        </w:rPr>
        <w:br w:type="page"/>
      </w:r>
    </w:p>
    <w:p w14:paraId="0B84A458">
      <w:pPr>
        <w:keepNext w:val="0"/>
        <w:keepLines w:val="0"/>
        <w:pageBreakBefore w:val="0"/>
        <w:widowControl w:val="0"/>
        <w:numPr>
          <w:ilvl w:val="0"/>
          <w:numId w:val="1"/>
        </w:numPr>
        <w:kinsoku/>
        <w:wordWrap/>
        <w:overflowPunct/>
        <w:topLinePunct w:val="0"/>
        <w:autoSpaceDE/>
        <w:autoSpaceDN/>
        <w:bidi w:val="0"/>
        <w:adjustRightInd/>
        <w:snapToGrid/>
        <w:spacing w:before="157" w:beforeLines="50"/>
        <w:ind w:left="0" w:leftChars="0" w:firstLine="0" w:firstLineChars="0"/>
        <w:textAlignment w:val="auto"/>
        <w:outlineLvl w:val="0"/>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综合分析与建议</w:t>
      </w:r>
    </w:p>
    <w:p w14:paraId="23BDD594">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开展精准化认知宣教</w:t>
      </w:r>
    </w:p>
    <w:p w14:paraId="4B84A75F">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t>针对“血压正常即可停药”等核心误区，制作短视频、图文手册等通俗化科普内容，明确长期规范用药的原理与擅自停药的危害。结合患者主要通过说明书获取知识的特点，优化说明书内容，增加核心认知要点的可视化图示，突出“不可自行调量”“连续用药必要性”等关键信息，提升认知传递效率。</w:t>
      </w:r>
    </w:p>
    <w:p w14:paraId="3CDE7338">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强化饮食与监测协同干预</w:t>
      </w:r>
    </w:p>
    <w:p w14:paraId="010BD6CD">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t>联合医护人员为患者提供个性化饮食指导，明确饮酒、高盐饮食的控制标准与替代方案，通过案例讲解饮食对血压控制的直接影响。推广便捷式血压计，结合用药提醒功能，为患者制定个性化监测计划，对监测频率不足的患者开展定期提醒，逐步养成规律监测习惯。</w:t>
      </w:r>
    </w:p>
    <w:p w14:paraId="354C809B">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构建多维度依从性保障体系</w:t>
      </w:r>
    </w:p>
    <w:p w14:paraId="11D11CCB">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t>呼应患者对家人监督的需求，推广家庭用药监督模式，为家属提供用药提醒技巧与监督流程培训，形成家庭与患者的协同管理。针对自行调量患者，建立随访机制，定期跟踪用药情况，及时纠正不规范行为；优化服药提醒方式，推广智能药盒、手机闹钟等工具，降低靠记忆服药的漏服风险。</w:t>
      </w:r>
    </w:p>
    <w:p w14:paraId="1B3BE806">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创新健康宣教模式</w:t>
      </w:r>
    </w:p>
    <w:p w14:paraId="79B0BE99">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t>针对健康讲座吸引力不足的问题，采用线上直播、社区小型座谈、案例分享会等多样化形式，降低参与门槛。根据患者认知水平分层设计内容，对认知不足的群体重点开展基础用药知识培训，对认知良好的群体增加并发症预防、血压监测技巧等进阶内容，提升宣教针对性与吸引力。</w:t>
      </w:r>
    </w:p>
    <w:p w14:paraId="75E5BCC1">
      <w:pPr>
        <w:keepNext w:val="0"/>
        <w:keepLines w:val="0"/>
        <w:pageBreakBefore w:val="0"/>
        <w:widowControl w:val="0"/>
        <w:numPr>
          <w:ilvl w:val="0"/>
          <w:numId w:val="5"/>
        </w:numPr>
        <w:kinsoku/>
        <w:wordWrap/>
        <w:overflowPunct/>
        <w:topLinePunct w:val="0"/>
        <w:autoSpaceDE/>
        <w:autoSpaceDN/>
        <w:bidi w:val="0"/>
        <w:adjustRightInd/>
        <w:snapToGrid/>
        <w:spacing w:before="157" w:beforeLines="50" w:line="360" w:lineRule="auto"/>
        <w:ind w:left="420" w:leftChars="0" w:hanging="420" w:firstLineChars="0"/>
        <w:textAlignment w:val="auto"/>
        <w:outlineLvl w:val="1"/>
        <w:rPr>
          <w:rFonts w:hint="eastAsia" w:asciiTheme="minorEastAsia" w:hAnsiTheme="minorEastAsia" w:eastAsiaTheme="minorEastAsia" w:cstheme="minorEastAsia"/>
          <w:b/>
          <w:bCs/>
          <w:sz w:val="32"/>
          <w:szCs w:val="32"/>
          <w:lang w:val="en-US" w:eastAsia="zh-CN"/>
        </w:rPr>
      </w:pPr>
      <w:r>
        <w:rPr>
          <w:rFonts w:hint="eastAsia" w:asciiTheme="minorEastAsia" w:hAnsiTheme="minorEastAsia" w:eastAsiaTheme="minorEastAsia" w:cstheme="minorEastAsia"/>
          <w:b/>
          <w:bCs/>
          <w:sz w:val="32"/>
          <w:szCs w:val="32"/>
          <w:lang w:val="en-US" w:eastAsia="zh-CN"/>
        </w:rPr>
        <w:t>防范联合用药安全风险</w:t>
      </w:r>
    </w:p>
    <w:p w14:paraId="0F06E747">
      <w:pPr>
        <w:keepNext w:val="0"/>
        <w:keepLines w:val="0"/>
        <w:pageBreakBefore w:val="0"/>
        <w:widowControl w:val="0"/>
        <w:kinsoku/>
        <w:wordWrap/>
        <w:overflowPunct/>
        <w:topLinePunct w:val="0"/>
        <w:autoSpaceDE/>
        <w:autoSpaceDN/>
        <w:bidi w:val="0"/>
        <w:adjustRightInd/>
        <w:snapToGrid/>
        <w:spacing w:before="157" w:beforeLines="50" w:line="360" w:lineRule="auto"/>
        <w:ind w:firstLine="420" w:firstLineChars="0"/>
        <w:textAlignment w:val="auto"/>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t>在处方环节及药品说明书中明确提示，禁止患者自行联用其他降压药或保健品，需提前咨询医生或药师。建立患者用药档案，对联合用药患者开展定期随访，核实联用药物种类与咨询情况，及时排查药物相互作用风险，保障用药安全。</w:t>
      </w:r>
    </w:p>
    <w:p w14:paraId="0282A4AA">
      <w:pPr>
        <w:rPr>
          <w:rFonts w:hint="eastAsia" w:asciiTheme="minorEastAsia" w:hAnsiTheme="minorEastAsia" w:cstheme="minorEastAsia"/>
          <w:sz w:val="28"/>
          <w:szCs w:val="28"/>
          <w:lang w:eastAsia="zh-CN"/>
        </w:rPr>
      </w:pPr>
      <w:r>
        <w:rPr>
          <w:rFonts w:hint="eastAsia" w:asciiTheme="minorEastAsia" w:hAnsiTheme="minorEastAsia" w:cstheme="minorEastAsia"/>
          <w:sz w:val="28"/>
          <w:szCs w:val="28"/>
          <w:lang w:eastAsia="zh-CN"/>
        </w:rPr>
        <w:br w:type="page"/>
      </w:r>
    </w:p>
    <w:p w14:paraId="1D1920E5">
      <w:pPr>
        <w:keepNext w:val="0"/>
        <w:keepLines w:val="0"/>
        <w:pageBreakBefore w:val="0"/>
        <w:widowControl w:val="0"/>
        <w:numPr>
          <w:ilvl w:val="0"/>
          <w:numId w:val="1"/>
        </w:numPr>
        <w:kinsoku/>
        <w:wordWrap/>
        <w:overflowPunct/>
        <w:topLinePunct w:val="0"/>
        <w:autoSpaceDE/>
        <w:autoSpaceDN/>
        <w:bidi w:val="0"/>
        <w:adjustRightInd/>
        <w:snapToGrid/>
        <w:spacing w:before="157" w:beforeLines="50"/>
        <w:ind w:left="0" w:leftChars="0" w:firstLine="0" w:firstLineChars="0"/>
        <w:textAlignment w:val="auto"/>
        <w:outlineLvl w:val="0"/>
        <w:rPr>
          <w:rFonts w:hint="default"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宋体" w:hAnsi="宋体" w:eastAsia="宋体" w:cs="宋体"/>
          <w:b/>
          <w:bCs/>
          <w:color w:val="75BD42" w:themeColor="accent4"/>
          <w:sz w:val="40"/>
          <w:szCs w:val="40"/>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附件-问卷题目内容</w:t>
      </w:r>
    </w:p>
    <w:p w14:paraId="4AE48E16">
      <w:pPr>
        <w:spacing w:line="360" w:lineRule="auto"/>
        <w:rPr>
          <w:rFonts w:hint="eastAsia" w:asciiTheme="minorEastAsia" w:hAnsiTheme="minorEastAsia" w:eastAsiaTheme="minorEastAsia" w:cstheme="minorEastAsia"/>
          <w:sz w:val="28"/>
          <w:szCs w:val="28"/>
          <w:lang w:val="en-US" w:eastAsia="zh-CN"/>
        </w:rPr>
      </w:pPr>
      <w:bookmarkStart w:id="10" w:name="_GoBack"/>
      <w:bookmarkEnd w:id="10"/>
      <w:r>
        <w:rPr>
          <w:rFonts w:hint="eastAsia" w:asciiTheme="minorEastAsia" w:hAnsiTheme="minorEastAsia" w:eastAsiaTheme="minorEastAsia" w:cstheme="minorEastAsia"/>
          <w:b/>
          <w:bCs/>
          <w:sz w:val="28"/>
          <w:szCs w:val="28"/>
          <w:lang w:val="en-US" w:eastAsia="zh-CN"/>
        </w:rPr>
        <w:t>1.您服用厄贝沙坦氢氯噻嗪片的主要原因是什么？</w:t>
      </w:r>
    </w:p>
    <w:p w14:paraId="5A02EC36">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A.原发性高血压</w:t>
      </w:r>
    </w:p>
    <w:p w14:paraId="074D283F">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B.高血压合并其他疾病（如心脏病、糖尿病等）</w:t>
      </w:r>
    </w:p>
    <w:p w14:paraId="2577CDD6">
      <w:pPr>
        <w:spacing w:line="360" w:lineRule="auto"/>
        <w:ind w:firstLine="420" w:firstLineChars="0"/>
        <w:rPr>
          <w:rFonts w:hint="default"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C.充血性心力衰竭</w:t>
      </w:r>
    </w:p>
    <w:p w14:paraId="7E496EF9">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D.其他</w:t>
      </w:r>
    </w:p>
    <w:p w14:paraId="6D133CBF">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2.在服用此药期间，您监测血压的频率是？</w:t>
      </w:r>
    </w:p>
    <w:p w14:paraId="71C1314E">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A.每周至少测量数次并有记录</w:t>
      </w:r>
    </w:p>
    <w:p w14:paraId="2D2E9A17">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B.每周测量1-2次</w:t>
      </w:r>
    </w:p>
    <w:p w14:paraId="6435B7ED">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C.偶尔想起来才测量</w:t>
      </w:r>
    </w:p>
    <w:p w14:paraId="18FE57FC">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D.仅在身体不适时监测</w:t>
      </w:r>
    </w:p>
    <w:p w14:paraId="79096679">
      <w:pPr>
        <w:spacing w:line="360" w:lineRule="auto"/>
        <w:ind w:left="280" w:hanging="281" w:hangingChars="10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b/>
          <w:bCs/>
          <w:sz w:val="28"/>
          <w:szCs w:val="28"/>
          <w:lang w:val="en-US" w:eastAsia="zh-CN"/>
        </w:rPr>
        <w:t>3.您对“厄贝沙坦氢氯噻嗪片”的降压作用了解多少？</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A.了解，它需要连续服用才能平稳控压</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B.大致知道需要长期服用</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C.以为血压正常了就可以停药</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D.不太关心它的作用原理</w:t>
      </w:r>
    </w:p>
    <w:p w14:paraId="673DCFFA">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4.服药期间，您是否主动避免饮酒或高盐饮食？</w:t>
      </w:r>
    </w:p>
    <w:p w14:paraId="44BEBE89">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A.完全避免</w:t>
      </w:r>
    </w:p>
    <w:p w14:paraId="484AE88D">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B.偶尔少量饮酒/高盐饮食</w:t>
      </w:r>
    </w:p>
    <w:p w14:paraId="710CA77A">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C.经常饮酒或高盐饮食</w:t>
      </w:r>
    </w:p>
    <w:p w14:paraId="4CC422D2">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D.未注意饮食习惯</w:t>
      </w:r>
    </w:p>
    <w:p w14:paraId="4C8EC1F3">
      <w:pPr>
        <w:spacing w:line="360" w:lineRule="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5.您如何获取关于此药的用药知识？</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A.主要听从医生或药师的详细指导</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B.阅读药品说明书</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C.通过网络或向病友咨询</w:t>
      </w:r>
      <w:r>
        <w:rPr>
          <w:rFonts w:hint="eastAsia" w:asciiTheme="minorEastAsia" w:hAnsiTheme="minorEastAsia" w:eastAsiaTheme="minorEastAsia" w:cstheme="minorEastAsia"/>
          <w:sz w:val="28"/>
          <w:szCs w:val="28"/>
          <w:lang w:val="en-US" w:eastAsia="zh-CN"/>
        </w:rPr>
        <w:br w:type="textWrapping"/>
      </w:r>
      <w:r>
        <w:rPr>
          <w:rFonts w:hint="eastAsia" w:asciiTheme="minorEastAsia" w:hAnsiTheme="minorEastAsia" w:cstheme="minorEastAsia"/>
          <w:sz w:val="28"/>
          <w:szCs w:val="28"/>
          <w:lang w:val="en-US" w:eastAsia="zh-CN"/>
        </w:rPr>
        <w:tab/>
      </w:r>
      <w:r>
        <w:rPr>
          <w:rFonts w:hint="eastAsia" w:asciiTheme="minorEastAsia" w:hAnsiTheme="minorEastAsia" w:eastAsiaTheme="minorEastAsia" w:cstheme="minorEastAsia"/>
          <w:sz w:val="28"/>
          <w:szCs w:val="28"/>
          <w:lang w:val="en-US" w:eastAsia="zh-CN"/>
        </w:rPr>
        <w:t>D.很少主动获取相关信</w:t>
      </w:r>
    </w:p>
    <w:p w14:paraId="1CDE974B">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6.您是否会自行调整（增加或减少）厄贝沙坦氢氯噻嗪片的服用剂量？</w:t>
      </w:r>
    </w:p>
    <w:p w14:paraId="6D7D6484">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A.从不，完全按照医生开的剂量</w:t>
      </w:r>
    </w:p>
    <w:p w14:paraId="5DA69990">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B.偶尔感觉头晕或不舒服时会少吃一次或半片</w:t>
      </w:r>
    </w:p>
    <w:p w14:paraId="684375F3">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C.感觉血压控制不好时会自己多吃一片</w:t>
      </w:r>
    </w:p>
    <w:p w14:paraId="1E5039D0">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D.经常根据自己的感觉调整剂量</w:t>
      </w:r>
    </w:p>
    <w:p w14:paraId="45EF7ADB">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7.您主要通过什么方式来提醒自己按时服药？</w:t>
      </w:r>
    </w:p>
    <w:p w14:paraId="7E36A144">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A.依靠习惯，固定在某个日常活动前后（如刷牙、早餐）</w:t>
      </w:r>
    </w:p>
    <w:p w14:paraId="49F4BF50">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B.使用药盒或手机闹钟等工具提醒</w:t>
      </w:r>
    </w:p>
    <w:p w14:paraId="67B7EF0D">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C.家人提醒</w:t>
      </w:r>
    </w:p>
    <w:p w14:paraId="426C3859">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D.没有特别提醒，靠记忆</w:t>
      </w:r>
    </w:p>
    <w:p w14:paraId="00C7E424">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8.您是否同时服用其他降压药或保健品？</w:t>
      </w:r>
    </w:p>
    <w:p w14:paraId="685047CF">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A.不，只服用这一种降压药</w:t>
      </w:r>
    </w:p>
    <w:p w14:paraId="5E66A5DA">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B.还服用其他医生开的降压药</w:t>
      </w:r>
    </w:p>
    <w:p w14:paraId="4EA59F86">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C.会自行服用一些保健品（如鱼油、银杏叶等）</w:t>
      </w:r>
    </w:p>
    <w:p w14:paraId="1289322D">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D.既服用其他医生开的药，也自行服用保健品</w:t>
      </w:r>
    </w:p>
    <w:p w14:paraId="054D257E">
      <w:pPr>
        <w:spacing w:line="360" w:lineRule="auto"/>
        <w:rPr>
          <w:rFonts w:hint="eastAsia" w:asciiTheme="minorEastAsia" w:hAnsiTheme="minorEastAsia" w:eastAsiaTheme="minorEastAsia" w:cstheme="minorEastAsia"/>
          <w:b/>
          <w:bCs/>
          <w:sz w:val="28"/>
          <w:szCs w:val="28"/>
          <w:lang w:val="en-US" w:eastAsia="zh-CN"/>
        </w:rPr>
      </w:pPr>
      <w:r>
        <w:rPr>
          <w:rFonts w:hint="eastAsia" w:asciiTheme="minorEastAsia" w:hAnsiTheme="minorEastAsia" w:eastAsiaTheme="minorEastAsia" w:cstheme="minorEastAsia"/>
          <w:b/>
          <w:bCs/>
          <w:sz w:val="28"/>
          <w:szCs w:val="28"/>
          <w:lang w:val="en-US" w:eastAsia="zh-CN"/>
        </w:rPr>
        <w:t>9.您是否参加过与厄贝沙坦氢氯噻嗪片用药相关的健康讲座或培训？​</w:t>
      </w:r>
    </w:p>
    <w:p w14:paraId="408D4EA9">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 xml:space="preserve">A.参加过多次  </w:t>
      </w:r>
    </w:p>
    <w:p w14:paraId="20608DC3">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 xml:space="preserve">B.参加过1-2次  </w:t>
      </w:r>
    </w:p>
    <w:p w14:paraId="4D76F054">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 xml:space="preserve">C.从未参加过，但有兴趣参加  </w:t>
      </w:r>
    </w:p>
    <w:p w14:paraId="126B7119">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 xml:space="preserve">D.从未参加过，也没兴趣参加  </w:t>
      </w:r>
    </w:p>
    <w:p w14:paraId="2CE70743">
      <w:pPr>
        <w:spacing w:line="360" w:lineRule="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b/>
          <w:bCs/>
          <w:sz w:val="28"/>
          <w:szCs w:val="28"/>
          <w:lang w:val="en-US" w:eastAsia="zh-CN"/>
        </w:rPr>
        <w:t>10.您认为通过哪些方式可以提高患者服用厄贝沙坦氢氯噻嗪片的依从性？</w:t>
      </w:r>
      <w:r>
        <w:rPr>
          <w:rFonts w:hint="eastAsia" w:asciiTheme="minorEastAsia" w:hAnsiTheme="minorEastAsia" w:eastAsiaTheme="minorEastAsia" w:cstheme="minorEastAsia"/>
          <w:sz w:val="28"/>
          <w:szCs w:val="28"/>
          <w:lang w:val="en-US" w:eastAsia="zh-CN"/>
        </w:rPr>
        <w:t>​</w:t>
      </w:r>
    </w:p>
    <w:p w14:paraId="4BE13D4A">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A.医生或药师提供更详细的用药指导和定期随访</w:t>
      </w:r>
    </w:p>
    <w:p w14:paraId="4291ADFA">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B.家人更多的提醒与监督</w:t>
      </w:r>
    </w:p>
    <w:p w14:paraId="34590090">
      <w:pPr>
        <w:spacing w:line="360" w:lineRule="auto"/>
        <w:ind w:firstLine="420" w:firstLineChars="0"/>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C.对药物有更深入的了解，知晓其重要性</w:t>
      </w:r>
    </w:p>
    <w:p w14:paraId="672F00E7">
      <w:pPr>
        <w:spacing w:line="360" w:lineRule="auto"/>
        <w:ind w:firstLine="420" w:firstLineChars="0"/>
        <w:rPr>
          <w:rFonts w:hint="default"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D.简化用药方案（如减少服药次数）</w:t>
      </w:r>
    </w:p>
    <w:p w14:paraId="39D5ED39">
      <w:pPr>
        <w:spacing w:line="360" w:lineRule="auto"/>
        <w:ind w:firstLine="420" w:firstLineChars="0"/>
        <w:rPr>
          <w:rFonts w:hint="eastAsia" w:asciiTheme="minorEastAsia" w:hAnsiTheme="minorEastAsia" w:cstheme="minorEastAsia"/>
          <w:sz w:val="28"/>
          <w:szCs w:val="28"/>
          <w:lang w:eastAsia="zh-CN"/>
        </w:rPr>
      </w:pPr>
    </w:p>
    <w:p w14:paraId="57C34EAD">
      <w:pPr>
        <w:spacing w:line="360" w:lineRule="auto"/>
        <w:ind w:firstLine="420" w:firstLineChars="0"/>
      </w:pPr>
    </w:p>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Heavy">
    <w:altName w:val="黑体"/>
    <w:panose1 w:val="020B0A00000000000000"/>
    <w:charset w:val="86"/>
    <w:family w:val="auto"/>
    <w:pitch w:val="default"/>
    <w:sig w:usb0="00000000" w:usb1="00000000" w:usb2="00000016" w:usb3="00000000" w:csb0="60060107" w:csb1="00000000"/>
  </w:font>
  <w:font w:name="思源黑体 CN Medium">
    <w:altName w:val="黑体"/>
    <w:panose1 w:val="020B0600000000000000"/>
    <w:charset w:val="86"/>
    <w:family w:val="auto"/>
    <w:pitch w:val="default"/>
    <w:sig w:usb0="00000000" w:usb1="00000000" w:usb2="00000016" w:usb3="00000000" w:csb0="60060107" w:csb1="00000000"/>
  </w:font>
  <w:font w:name="KSOFDDF4E7ED">
    <w:panose1 w:val="020B06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E9554">
    <w:pPr>
      <w:pStyle w:val="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016682">
                          <w:pPr>
                            <w:pStyle w:val="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JWEWwzAgAAYwQAAA4AAAAAAAAAAQAgAAAAHwEAAGRycy9lMm9Eb2MueG1sUEsF&#10;BgAAAAAGAAYAWQEAAMQFAAAAAA==&#10;">
              <v:fill on="f" focussize="0,0"/>
              <v:stroke on="f" weight="0.5pt"/>
              <v:imagedata o:title=""/>
              <o:lock v:ext="edit" aspectratio="f"/>
              <v:textbox inset="0mm,0mm,0mm,0mm" style="mso-fit-shape-to-text:t;">
                <w:txbxContent>
                  <w:p w14:paraId="3C016682">
                    <w:pPr>
                      <w:pStyle w:val="4"/>
                    </w:pPr>
                    <w:r>
                      <w:fldChar w:fldCharType="begin"/>
                    </w:r>
                    <w:r>
                      <w:instrText xml:space="preserve"> PAGE  \* MERGEFORMAT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B3181"/>
    <w:multiLevelType w:val="singleLevel"/>
    <w:tmpl w:val="84BB3181"/>
    <w:lvl w:ilvl="0" w:tentative="0">
      <w:start w:val="1"/>
      <w:numFmt w:val="decimal"/>
      <w:lvlText w:val="%1."/>
      <w:lvlJc w:val="left"/>
      <w:pPr>
        <w:tabs>
          <w:tab w:val="left" w:pos="312"/>
        </w:tabs>
      </w:pPr>
    </w:lvl>
  </w:abstractNum>
  <w:abstractNum w:abstractNumId="1">
    <w:nsid w:val="8E0791FF"/>
    <w:multiLevelType w:val="singleLevel"/>
    <w:tmpl w:val="8E0791FF"/>
    <w:lvl w:ilvl="0" w:tentative="0">
      <w:start w:val="1"/>
      <w:numFmt w:val="bullet"/>
      <w:lvlText w:val=""/>
      <w:lvlJc w:val="left"/>
      <w:pPr>
        <w:ind w:left="420" w:hanging="420"/>
      </w:pPr>
      <w:rPr>
        <w:rFonts w:hint="default" w:ascii="Wingdings" w:hAnsi="Wingdings"/>
        <w:color w:val="75BD42" w:themeColor="accent4"/>
        <w14:textFill>
          <w14:solidFill>
            <w14:schemeClr w14:val="accent4"/>
          </w14:solidFill>
        </w14:textFill>
      </w:rPr>
    </w:lvl>
  </w:abstractNum>
  <w:abstractNum w:abstractNumId="2">
    <w:nsid w:val="9929C6CF"/>
    <w:multiLevelType w:val="singleLevel"/>
    <w:tmpl w:val="9929C6CF"/>
    <w:lvl w:ilvl="0" w:tentative="0">
      <w:start w:val="1"/>
      <w:numFmt w:val="bullet"/>
      <w:lvlText w:val=""/>
      <w:lvlJc w:val="left"/>
      <w:pPr>
        <w:ind w:left="420" w:hanging="420"/>
      </w:pPr>
      <w:rPr>
        <w:rFonts w:hint="default" w:ascii="Wingdings" w:hAnsi="Wingdings"/>
        <w:color w:val="75BD42" w:themeColor="accent4"/>
        <w14:textFill>
          <w14:solidFill>
            <w14:schemeClr w14:val="accent4"/>
          </w14:solidFill>
        </w14:textFill>
      </w:rPr>
    </w:lvl>
  </w:abstractNum>
  <w:abstractNum w:abstractNumId="3">
    <w:nsid w:val="AEB366EF"/>
    <w:multiLevelType w:val="singleLevel"/>
    <w:tmpl w:val="AEB366EF"/>
    <w:lvl w:ilvl="0" w:tentative="0">
      <w:start w:val="1"/>
      <w:numFmt w:val="bullet"/>
      <w:lvlText w:val=""/>
      <w:lvlJc w:val="left"/>
      <w:pPr>
        <w:ind w:left="420" w:hanging="420"/>
      </w:pPr>
      <w:rPr>
        <w:rFonts w:hint="default" w:ascii="Wingdings" w:hAnsi="Wingdings"/>
        <w:color w:val="75BD42" w:themeColor="accent4"/>
        <w14:textFill>
          <w14:solidFill>
            <w14:schemeClr w14:val="accent4"/>
          </w14:solidFill>
        </w14:textFill>
      </w:rPr>
    </w:lvl>
  </w:abstractNum>
  <w:abstractNum w:abstractNumId="4">
    <w:nsid w:val="C31F0C06"/>
    <w:multiLevelType w:val="singleLevel"/>
    <w:tmpl w:val="C31F0C06"/>
    <w:lvl w:ilvl="0" w:tentative="0">
      <w:start w:val="1"/>
      <w:numFmt w:val="bullet"/>
      <w:lvlText w:val=""/>
      <w:lvlJc w:val="left"/>
      <w:pPr>
        <w:ind w:left="420" w:hanging="420"/>
      </w:pPr>
      <w:rPr>
        <w:rFonts w:hint="default" w:ascii="Wingdings" w:hAnsi="Wingdings"/>
        <w:color w:val="75BD42" w:themeColor="accent4"/>
        <w14:textFill>
          <w14:solidFill>
            <w14:schemeClr w14:val="accent4"/>
          </w14:solidFill>
        </w14:textFill>
      </w:rPr>
    </w:lvl>
  </w:abstractNum>
  <w:abstractNum w:abstractNumId="5">
    <w:nsid w:val="C7AE7E07"/>
    <w:multiLevelType w:val="singleLevel"/>
    <w:tmpl w:val="C7AE7E07"/>
    <w:lvl w:ilvl="0" w:tentative="0">
      <w:start w:val="1"/>
      <w:numFmt w:val="chineseCounting"/>
      <w:suff w:val="nothing"/>
      <w:lvlText w:val="%1、"/>
      <w:lvlJc w:val="left"/>
      <w:pPr>
        <w:ind w:left="0" w:firstLine="420"/>
      </w:pPr>
      <w:rPr>
        <w:rFonts w:hint="eastAsia" w:ascii="宋体" w:hAnsi="宋体" w:eastAsia="宋体" w:cs="宋体"/>
        <w:b/>
        <w:bCs/>
        <w:color w:val="7AC146"/>
        <w:sz w:val="40"/>
        <w:szCs w:val="40"/>
      </w:rPr>
    </w:lvl>
  </w:abstractNum>
  <w:num w:numId="1">
    <w:abstractNumId w:val="5"/>
  </w:num>
  <w:num w:numId="2">
    <w:abstractNumId w:val="2"/>
  </w:num>
  <w:num w:numId="3">
    <w:abstractNumId w:val="4"/>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3A5368"/>
    <w:rsid w:val="01626374"/>
    <w:rsid w:val="019404F8"/>
    <w:rsid w:val="05E05ABA"/>
    <w:rsid w:val="06031CF6"/>
    <w:rsid w:val="080011E4"/>
    <w:rsid w:val="09371E95"/>
    <w:rsid w:val="09D122E9"/>
    <w:rsid w:val="0C9763FB"/>
    <w:rsid w:val="0CAA6628"/>
    <w:rsid w:val="0D1C407A"/>
    <w:rsid w:val="0D71793F"/>
    <w:rsid w:val="0EAE6622"/>
    <w:rsid w:val="0F2941FB"/>
    <w:rsid w:val="11B06239"/>
    <w:rsid w:val="12350842"/>
    <w:rsid w:val="12AB744F"/>
    <w:rsid w:val="139433C6"/>
    <w:rsid w:val="13AA5959"/>
    <w:rsid w:val="14D42C8D"/>
    <w:rsid w:val="150F1215"/>
    <w:rsid w:val="1527507F"/>
    <w:rsid w:val="15CA76C5"/>
    <w:rsid w:val="161E306E"/>
    <w:rsid w:val="16F94C2D"/>
    <w:rsid w:val="17620A24"/>
    <w:rsid w:val="18504D21"/>
    <w:rsid w:val="185F6D12"/>
    <w:rsid w:val="1A240213"/>
    <w:rsid w:val="1B5D3B37"/>
    <w:rsid w:val="1BAB1AAC"/>
    <w:rsid w:val="1C850D11"/>
    <w:rsid w:val="1E2F7187"/>
    <w:rsid w:val="1E9E60BA"/>
    <w:rsid w:val="1FC77172"/>
    <w:rsid w:val="20175D40"/>
    <w:rsid w:val="214C1877"/>
    <w:rsid w:val="21C31964"/>
    <w:rsid w:val="22A719E1"/>
    <w:rsid w:val="22D41094"/>
    <w:rsid w:val="22E907A2"/>
    <w:rsid w:val="23BF3B72"/>
    <w:rsid w:val="263A5368"/>
    <w:rsid w:val="265C5285"/>
    <w:rsid w:val="265F34AB"/>
    <w:rsid w:val="26CC5EBA"/>
    <w:rsid w:val="270A586B"/>
    <w:rsid w:val="28CA642A"/>
    <w:rsid w:val="2A102562"/>
    <w:rsid w:val="2A481CFC"/>
    <w:rsid w:val="2B8F26B7"/>
    <w:rsid w:val="2D2C6B76"/>
    <w:rsid w:val="2D3E6688"/>
    <w:rsid w:val="2E7A61FC"/>
    <w:rsid w:val="2FD45DE0"/>
    <w:rsid w:val="348953EB"/>
    <w:rsid w:val="380A6843"/>
    <w:rsid w:val="384F6612"/>
    <w:rsid w:val="3A4662B6"/>
    <w:rsid w:val="3ABC7B9C"/>
    <w:rsid w:val="3CC35212"/>
    <w:rsid w:val="3D020556"/>
    <w:rsid w:val="3E077380"/>
    <w:rsid w:val="3F453540"/>
    <w:rsid w:val="410C362B"/>
    <w:rsid w:val="413C5987"/>
    <w:rsid w:val="431247FD"/>
    <w:rsid w:val="435D471E"/>
    <w:rsid w:val="438C2559"/>
    <w:rsid w:val="44E4041B"/>
    <w:rsid w:val="47AF6ABF"/>
    <w:rsid w:val="48B33CE8"/>
    <w:rsid w:val="48E704DA"/>
    <w:rsid w:val="4B047121"/>
    <w:rsid w:val="4BD8790F"/>
    <w:rsid w:val="4E372EB3"/>
    <w:rsid w:val="4E8A11B8"/>
    <w:rsid w:val="510401C7"/>
    <w:rsid w:val="5164091A"/>
    <w:rsid w:val="554C191F"/>
    <w:rsid w:val="563034C0"/>
    <w:rsid w:val="56664C3E"/>
    <w:rsid w:val="572C35BD"/>
    <w:rsid w:val="58CA2F7F"/>
    <w:rsid w:val="59653481"/>
    <w:rsid w:val="59F111B9"/>
    <w:rsid w:val="5C5342DE"/>
    <w:rsid w:val="5EAE1426"/>
    <w:rsid w:val="60213E7A"/>
    <w:rsid w:val="606D6F36"/>
    <w:rsid w:val="60C1782B"/>
    <w:rsid w:val="60FC78C2"/>
    <w:rsid w:val="624F1172"/>
    <w:rsid w:val="63482BFD"/>
    <w:rsid w:val="65856C59"/>
    <w:rsid w:val="65BD759E"/>
    <w:rsid w:val="66E77E0F"/>
    <w:rsid w:val="688B0524"/>
    <w:rsid w:val="689510AD"/>
    <w:rsid w:val="68A37B22"/>
    <w:rsid w:val="690A5DF3"/>
    <w:rsid w:val="6AE52674"/>
    <w:rsid w:val="6CA659FF"/>
    <w:rsid w:val="6D4318D3"/>
    <w:rsid w:val="6E4B2F23"/>
    <w:rsid w:val="6EF56BFD"/>
    <w:rsid w:val="6F20011E"/>
    <w:rsid w:val="71107D1F"/>
    <w:rsid w:val="715068C6"/>
    <w:rsid w:val="7270316B"/>
    <w:rsid w:val="72827AE5"/>
    <w:rsid w:val="74681C20"/>
    <w:rsid w:val="746E36DA"/>
    <w:rsid w:val="76085468"/>
    <w:rsid w:val="778D53CC"/>
    <w:rsid w:val="77C655DB"/>
    <w:rsid w:val="7AEA15E0"/>
    <w:rsid w:val="7B2F16E9"/>
    <w:rsid w:val="7F794C47"/>
    <w:rsid w:val="7F983A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微软雅黑" w:cs="宋体"/>
      <w:b/>
      <w:bCs/>
      <w:kern w:val="0"/>
      <w:sz w:val="36"/>
      <w:szCs w:val="36"/>
      <w:lang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qFormat/>
    <w:uiPriority w:val="0"/>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chart" Target="charts/chart4.xml"/><Relationship Id="rId8" Type="http://schemas.openxmlformats.org/officeDocument/2006/relationships/chart" Target="charts/chart3.xml"/><Relationship Id="rId7" Type="http://schemas.openxmlformats.org/officeDocument/2006/relationships/chart" Target="charts/chart2.xml"/><Relationship Id="rId6" Type="http://schemas.openxmlformats.org/officeDocument/2006/relationships/chart" Target="charts/chart1.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chart" Target="charts/chart10.xml"/><Relationship Id="rId14" Type="http://schemas.openxmlformats.org/officeDocument/2006/relationships/chart" Target="charts/chart9.xml"/><Relationship Id="rId13" Type="http://schemas.openxmlformats.org/officeDocument/2006/relationships/chart" Target="charts/chart8.xml"/><Relationship Id="rId12" Type="http://schemas.openxmlformats.org/officeDocument/2006/relationships/chart" Target="charts/chart7.xml"/><Relationship Id="rId11" Type="http://schemas.openxmlformats.org/officeDocument/2006/relationships/chart" Target="charts/chart6.xml"/><Relationship Id="rId10" Type="http://schemas.openxmlformats.org/officeDocument/2006/relationships/chart" Target="charts/chart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6.xml"/><Relationship Id="rId2" Type="http://schemas.microsoft.com/office/2011/relationships/chartStyle" Target="style6.xml"/><Relationship Id="rId1" Type="http://schemas.openxmlformats.org/officeDocument/2006/relationships/package" Target="../embeddings/Workbook6.xlsx"/></Relationships>
</file>

<file path=word/charts/_rels/chart2.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_rels/chart3.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Workbook2.xlsx"/></Relationships>
</file>

<file path=word/charts/_rels/chart4.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package" Target="../embeddings/Workbook3.xlsx"/></Relationships>
</file>

<file path=word/charts/_rels/chart5.xml.rels><?xml version="1.0" encoding="UTF-8" standalone="yes"?>
<Relationships xmlns="http://schemas.openxmlformats.org/package/2006/relationships"><Relationship Id="rId3" Type="http://schemas.microsoft.com/office/2011/relationships/chartColorStyle" Target="colors4.xml"/><Relationship Id="rId2" Type="http://schemas.microsoft.com/office/2011/relationships/chartStyle" Target="style4.xml"/><Relationship Id="rId1" Type="http://schemas.openxmlformats.org/officeDocument/2006/relationships/package" Target="../embeddings/Workbook4.xlsx"/></Relationships>
</file>

<file path=word/charts/_rels/chart6.xml.rels><?xml version="1.0" encoding="UTF-8" standalone="yes"?>
<Relationships xmlns="http://schemas.openxmlformats.org/package/2006/relationships"><Relationship Id="rId3" Type="http://schemas.microsoft.com/office/2011/relationships/chartColorStyle" Target="colors5.xml"/><Relationship Id="rId2" Type="http://schemas.microsoft.com/office/2011/relationships/chartStyle" Target="style5.xml"/><Relationship Id="rId1" Type="http://schemas.openxmlformats.org/officeDocument/2006/relationships/package" Target="../embeddings/Workbook5.xlsx"/></Relationships>
</file>

<file path=word/charts/_rels/chart7.xml.rels><?xml version="1.0" encoding="UTF-8" standalone="yes"?>
<Relationships xmlns="http://schemas.openxmlformats.org/package/2006/relationships"><Relationship Id="rId3" Type="http://schemas.microsoft.com/office/2011/relationships/chartColorStyle" Target="colors7.xml"/><Relationship Id="rId2" Type="http://schemas.microsoft.com/office/2011/relationships/chartStyle" Target="style7.xml"/><Relationship Id="rId1" Type="http://schemas.openxmlformats.org/officeDocument/2006/relationships/package" Target="../embeddings/Workbook7.xlsx"/></Relationships>
</file>

<file path=word/charts/_rels/chart8.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package" Target="../embeddings/Workbook9.xlsx"/></Relationships>
</file>

<file path=word/charts/_rels/chart9.xml.rels><?xml version="1.0" encoding="UTF-8" standalone="yes"?>
<Relationships xmlns="http://schemas.openxmlformats.org/package/2006/relationships"><Relationship Id="rId3" Type="http://schemas.microsoft.com/office/2011/relationships/chartColorStyle" Target="colors8.xml"/><Relationship Id="rId2" Type="http://schemas.microsoft.com/office/2011/relationships/chartStyle" Target="style8.xml"/><Relationship Id="rId1" Type="http://schemas.openxmlformats.org/officeDocument/2006/relationships/package" Target="../embeddings/Workbook8.xlsx"/></Relationships>
</file>

<file path=word/charts/_rels/chart10.xml.rels><?xml version="1.0" encoding="UTF-8" standalone="yes"?>
<Relationships xmlns="http://schemas.openxmlformats.org/package/2006/relationships"><Relationship Id="rId3" Type="http://schemas.microsoft.com/office/2011/relationships/chartColorStyle" Target="colors10.xml"/><Relationship Id="rId2" Type="http://schemas.microsoft.com/office/2011/relationships/chartStyle" Target="style10.xml"/><Relationship Id="rId1" Type="http://schemas.openxmlformats.org/officeDocument/2006/relationships/package" Target="../embeddings/Workbook10.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A.原发性高血压</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0.6</c:v>
                </c:pt>
              </c:numCache>
            </c:numRef>
          </c:val>
        </c:ser>
        <c:ser>
          <c:idx val="1"/>
          <c:order val="1"/>
          <c:tx>
            <c:strRef>
              <c:f>Sheet1!$C$1</c:f>
              <c:strCache>
                <c:ptCount val="1"/>
                <c:pt idx="0">
                  <c:v>B.高血压合并其他疾病（如心脏病、糖尿病等）</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0.27</c:v>
                </c:pt>
              </c:numCache>
            </c:numRef>
          </c:val>
        </c:ser>
        <c:ser>
          <c:idx val="2"/>
          <c:order val="2"/>
          <c:tx>
            <c:strRef>
              <c:f>Sheet1!$D$1</c:f>
              <c:strCache>
                <c:ptCount val="1"/>
                <c:pt idx="0">
                  <c:v>C.充血性心力衰竭</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0.06</c:v>
                </c:pt>
              </c:numCache>
            </c:numRef>
          </c:val>
        </c:ser>
        <c:ser>
          <c:idx val="3"/>
          <c:order val="3"/>
          <c:tx>
            <c:strRef>
              <c:f>Sheet1!$E$1</c:f>
              <c:strCache>
                <c:ptCount val="1"/>
                <c:pt idx="0">
                  <c:v>D.其他</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0.07</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2210678907949"/>
          <c:y val="0.194151341573711"/>
          <c:w val="0.333293065957961"/>
          <c:h val="0.69731685257763"/>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514cff56-4277-4f3d-8bd0-f7f8cc67b091}"/>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A.每周至少测量数次并有记录</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0.41</c:v>
                </c:pt>
              </c:numCache>
            </c:numRef>
          </c:val>
        </c:ser>
        <c:ser>
          <c:idx val="1"/>
          <c:order val="1"/>
          <c:tx>
            <c:strRef>
              <c:f>Sheet1!$C$1</c:f>
              <c:strCache>
                <c:ptCount val="1"/>
                <c:pt idx="0">
                  <c:v>B.每周测量1-2次</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0.29</c:v>
                </c:pt>
              </c:numCache>
            </c:numRef>
          </c:val>
        </c:ser>
        <c:ser>
          <c:idx val="2"/>
          <c:order val="2"/>
          <c:tx>
            <c:strRef>
              <c:f>Sheet1!$D$1</c:f>
              <c:strCache>
                <c:ptCount val="1"/>
                <c:pt idx="0">
                  <c:v>C.偶尔想起来才测量</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0.22</c:v>
                </c:pt>
              </c:numCache>
            </c:numRef>
          </c:val>
        </c:ser>
        <c:ser>
          <c:idx val="3"/>
          <c:order val="3"/>
          <c:tx>
            <c:strRef>
              <c:f>Sheet1!$E$1</c:f>
              <c:strCache>
                <c:ptCount val="1"/>
                <c:pt idx="0">
                  <c:v>D.仅在身体不适时监测</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0.08</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2210678907949"/>
          <c:y val="0.194151341573711"/>
          <c:w val="0.333293065957961"/>
          <c:h val="0.69731685257763"/>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0740793368857312"/>
          <c:y val="0.0565989194751737"/>
          <c:w val="0.562214328004736"/>
          <c:h val="0.818986364805763"/>
        </c:manualLayout>
      </c:layout>
      <c:barChart>
        <c:barDir val="bar"/>
        <c:grouping val="clustered"/>
        <c:varyColors val="0"/>
        <c:ser>
          <c:idx val="0"/>
          <c:order val="0"/>
          <c:tx>
            <c:strRef>
              <c:f>Sheet1!$B$1</c:f>
              <c:strCache>
                <c:ptCount val="1"/>
                <c:pt idx="0">
                  <c:v>A.了解，它需要连续服用才能平稳控压</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0.34</c:v>
                </c:pt>
              </c:numCache>
            </c:numRef>
          </c:val>
        </c:ser>
        <c:ser>
          <c:idx val="1"/>
          <c:order val="1"/>
          <c:tx>
            <c:strRef>
              <c:f>Sheet1!$C$1</c:f>
              <c:strCache>
                <c:ptCount val="1"/>
                <c:pt idx="0">
                  <c:v>B.大致知道需要长期服用</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0.16</c:v>
                </c:pt>
              </c:numCache>
            </c:numRef>
          </c:val>
        </c:ser>
        <c:ser>
          <c:idx val="2"/>
          <c:order val="2"/>
          <c:tx>
            <c:strRef>
              <c:f>Sheet1!$D$1</c:f>
              <c:strCache>
                <c:ptCount val="1"/>
                <c:pt idx="0">
                  <c:v>C.以为血压正常了就可以停药</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0.22</c:v>
                </c:pt>
              </c:numCache>
            </c:numRef>
          </c:val>
        </c:ser>
        <c:ser>
          <c:idx val="3"/>
          <c:order val="3"/>
          <c:tx>
            <c:strRef>
              <c:f>Sheet1!$E$1</c:f>
              <c:strCache>
                <c:ptCount val="1"/>
                <c:pt idx="0">
                  <c:v>D.不太关心它的作用原理</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0.28</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83599763173475"/>
          <c:y val="0.174427579109853"/>
          <c:w val="0.301953818827709"/>
          <c:h val="0.697195780807821"/>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A.完全避免</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0.16</c:v>
                </c:pt>
              </c:numCache>
            </c:numRef>
          </c:val>
        </c:ser>
        <c:ser>
          <c:idx val="1"/>
          <c:order val="1"/>
          <c:tx>
            <c:strRef>
              <c:f>Sheet1!$C$1</c:f>
              <c:strCache>
                <c:ptCount val="1"/>
                <c:pt idx="0">
                  <c:v>B.偶尔少量饮酒/高盐饮食</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0.39</c:v>
                </c:pt>
              </c:numCache>
            </c:numRef>
          </c:val>
        </c:ser>
        <c:ser>
          <c:idx val="2"/>
          <c:order val="2"/>
          <c:tx>
            <c:strRef>
              <c:f>Sheet1!$D$1</c:f>
              <c:strCache>
                <c:ptCount val="1"/>
                <c:pt idx="0">
                  <c:v>C.经常饮酒或高盐饮食</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c:v>
                </c:pt>
              </c:numCache>
            </c:numRef>
          </c:val>
        </c:ser>
        <c:ser>
          <c:idx val="3"/>
          <c:order val="3"/>
          <c:tx>
            <c:strRef>
              <c:f>Sheet1!$E$1</c:f>
              <c:strCache>
                <c:ptCount val="1"/>
                <c:pt idx="0">
                  <c:v>D.未注意饮食习惯</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0.25</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2210678907949"/>
          <c:y val="0.194151341573711"/>
          <c:w val="0.333293065957961"/>
          <c:h val="0.69731685257763"/>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A.主要听从医生或药师的详细指导</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0.31</c:v>
                </c:pt>
              </c:numCache>
            </c:numRef>
          </c:val>
        </c:ser>
        <c:ser>
          <c:idx val="1"/>
          <c:order val="1"/>
          <c:tx>
            <c:strRef>
              <c:f>Sheet1!$C$1</c:f>
              <c:strCache>
                <c:ptCount val="1"/>
                <c:pt idx="0">
                  <c:v>B.阅读药品说明书</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0.44</c:v>
                </c:pt>
              </c:numCache>
            </c:numRef>
          </c:val>
        </c:ser>
        <c:ser>
          <c:idx val="2"/>
          <c:order val="2"/>
          <c:tx>
            <c:strRef>
              <c:f>Sheet1!$D$1</c:f>
              <c:strCache>
                <c:ptCount val="1"/>
                <c:pt idx="0">
                  <c:v>C.通过网络或向病友咨询</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c:v>
                </c:pt>
              </c:numCache>
            </c:numRef>
          </c:val>
        </c:ser>
        <c:ser>
          <c:idx val="3"/>
          <c:order val="3"/>
          <c:tx>
            <c:strRef>
              <c:f>Sheet1!$E$1</c:f>
              <c:strCache>
                <c:ptCount val="1"/>
                <c:pt idx="0">
                  <c:v>D.很少主动获取相关信息</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0.05</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41767743485049"/>
          <c:y val="0.194048884165781"/>
          <c:w val="0.343701212921821"/>
          <c:h val="0.697343251859724"/>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0747252747252747"/>
          <c:y val="0.0504471451501949"/>
          <c:w val="0.536060678451983"/>
          <c:h val="0.838660857601468"/>
        </c:manualLayout>
      </c:layout>
      <c:barChart>
        <c:barDir val="bar"/>
        <c:grouping val="clustered"/>
        <c:varyColors val="0"/>
        <c:ser>
          <c:idx val="0"/>
          <c:order val="0"/>
          <c:tx>
            <c:strRef>
              <c:f>Sheet1!$B$1</c:f>
              <c:strCache>
                <c:ptCount val="1"/>
                <c:pt idx="0">
                  <c:v>A.从不，完全按照医生开的剂量</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0.38</c:v>
                </c:pt>
              </c:numCache>
            </c:numRef>
          </c:val>
        </c:ser>
        <c:ser>
          <c:idx val="1"/>
          <c:order val="1"/>
          <c:tx>
            <c:strRef>
              <c:f>Sheet1!$C$1</c:f>
              <c:strCache>
                <c:ptCount val="1"/>
                <c:pt idx="0">
                  <c:v>B.偶尔感觉头晕或不舒服时会少吃一次或半片</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0.32</c:v>
                </c:pt>
              </c:numCache>
            </c:numRef>
          </c:val>
        </c:ser>
        <c:ser>
          <c:idx val="2"/>
          <c:order val="2"/>
          <c:tx>
            <c:strRef>
              <c:f>Sheet1!$D$1</c:f>
              <c:strCache>
                <c:ptCount val="1"/>
                <c:pt idx="0">
                  <c:v>C.感觉血压控制不好时会自己多吃一片</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0.22</c:v>
                </c:pt>
              </c:numCache>
            </c:numRef>
          </c:val>
        </c:ser>
        <c:ser>
          <c:idx val="3"/>
          <c:order val="3"/>
          <c:tx>
            <c:strRef>
              <c:f>Sheet1!$E$1</c:f>
              <c:strCache>
                <c:ptCount val="1"/>
                <c:pt idx="0">
                  <c:v>D.经常根据自己的感觉调整剂量</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0.08</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60893454371715"/>
          <c:y val="0.19422150882825"/>
          <c:w val="0.324653607262303"/>
          <c:h val="0.697317129098831"/>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0747967479674797"/>
          <c:y val="0.0508552935737402"/>
          <c:w val="0.529399808703969"/>
          <c:h val="0.837355524734166"/>
        </c:manualLayout>
      </c:layout>
      <c:barChart>
        <c:barDir val="bar"/>
        <c:grouping val="clustered"/>
        <c:varyColors val="0"/>
        <c:ser>
          <c:idx val="0"/>
          <c:order val="0"/>
          <c:tx>
            <c:strRef>
              <c:f>Sheet1!$B$1</c:f>
              <c:strCache>
                <c:ptCount val="1"/>
                <c:pt idx="0">
                  <c:v>A.依靠习惯，固定在某个日常活动前后（如刷牙、早餐）</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0.47</c:v>
                </c:pt>
              </c:numCache>
            </c:numRef>
          </c:val>
        </c:ser>
        <c:ser>
          <c:idx val="1"/>
          <c:order val="1"/>
          <c:tx>
            <c:strRef>
              <c:f>Sheet1!$C$1</c:f>
              <c:strCache>
                <c:ptCount val="1"/>
                <c:pt idx="0">
                  <c:v>B.使用药盒或手机闹钟等工具提醒</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0.15</c:v>
                </c:pt>
              </c:numCache>
            </c:numRef>
          </c:val>
        </c:ser>
        <c:ser>
          <c:idx val="2"/>
          <c:order val="2"/>
          <c:tx>
            <c:strRef>
              <c:f>Sheet1!$D$1</c:f>
              <c:strCache>
                <c:ptCount val="1"/>
                <c:pt idx="0">
                  <c:v>C.家人提醒</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0.14</c:v>
                </c:pt>
              </c:numCache>
            </c:numRef>
          </c:val>
        </c:ser>
        <c:ser>
          <c:idx val="3"/>
          <c:order val="3"/>
          <c:tx>
            <c:strRef>
              <c:f>Sheet1!$E$1</c:f>
              <c:strCache>
                <c:ptCount val="1"/>
                <c:pt idx="0">
                  <c:v>D.没有特别提醒，靠记忆</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0.24</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90219990435198"/>
          <c:y val="0.194174757281553"/>
          <c:w val="0.29531324725012"/>
          <c:h val="0.697411003236246"/>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A.不，只服用这一种降压药</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0.44</c:v>
                </c:pt>
              </c:numCache>
            </c:numRef>
          </c:val>
        </c:ser>
        <c:ser>
          <c:idx val="1"/>
          <c:order val="1"/>
          <c:tx>
            <c:strRef>
              <c:f>Sheet1!$C$1</c:f>
              <c:strCache>
                <c:ptCount val="1"/>
                <c:pt idx="0">
                  <c:v>B.还服用其他医生开的降压药</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0.28</c:v>
                </c:pt>
              </c:numCache>
            </c:numRef>
          </c:val>
        </c:ser>
        <c:ser>
          <c:idx val="2"/>
          <c:order val="2"/>
          <c:tx>
            <c:strRef>
              <c:f>Sheet1!$D$1</c:f>
              <c:strCache>
                <c:ptCount val="1"/>
                <c:pt idx="0">
                  <c:v>C.会自行服用一些保健品（如鱼油、银杏叶等）</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0.16</c:v>
                </c:pt>
              </c:numCache>
            </c:numRef>
          </c:val>
        </c:ser>
        <c:ser>
          <c:idx val="3"/>
          <c:order val="3"/>
          <c:tx>
            <c:strRef>
              <c:f>Sheet1!$E$1</c:f>
              <c:strCache>
                <c:ptCount val="1"/>
                <c:pt idx="0">
                  <c:v>D.既服用其他医生开的药，也自行服用保健品</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0.12</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2210678907949"/>
          <c:y val="0.194151341573711"/>
          <c:w val="0.333293065957961"/>
          <c:h val="0.69731685257763"/>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barChart>
        <c:barDir val="bar"/>
        <c:grouping val="clustered"/>
        <c:varyColors val="0"/>
        <c:ser>
          <c:idx val="0"/>
          <c:order val="0"/>
          <c:tx>
            <c:strRef>
              <c:f>Sheet1!$B$1</c:f>
              <c:strCache>
                <c:ptCount val="1"/>
                <c:pt idx="0">
                  <c:v>A.参加过多次</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0.21</c:v>
                </c:pt>
              </c:numCache>
            </c:numRef>
          </c:val>
        </c:ser>
        <c:ser>
          <c:idx val="1"/>
          <c:order val="1"/>
          <c:tx>
            <c:strRef>
              <c:f>Sheet1!$C$1</c:f>
              <c:strCache>
                <c:ptCount val="1"/>
                <c:pt idx="0">
                  <c:v>B.参加过1-2次</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0.21</c:v>
                </c:pt>
              </c:numCache>
            </c:numRef>
          </c:val>
        </c:ser>
        <c:ser>
          <c:idx val="2"/>
          <c:order val="2"/>
          <c:tx>
            <c:strRef>
              <c:f>Sheet1!$D$1</c:f>
              <c:strCache>
                <c:ptCount val="1"/>
                <c:pt idx="0">
                  <c:v>C.从未参加过，但有兴趣参加</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0.14</c:v>
                </c:pt>
              </c:numCache>
            </c:numRef>
          </c:val>
        </c:ser>
        <c:ser>
          <c:idx val="3"/>
          <c:order val="3"/>
          <c:tx>
            <c:strRef>
              <c:f>Sheet1!$E$1</c:f>
              <c:strCache>
                <c:ptCount val="1"/>
                <c:pt idx="0">
                  <c:v>D.从未参加过，也没兴趣参加</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0.44</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2210678907949"/>
          <c:y val="0.194151341573711"/>
          <c:w val="0.333293065957961"/>
          <c:h val="0.69731685257763"/>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0740793368857312"/>
          <c:y val="0.0591715976331361"/>
          <c:w val="0.519585553582001"/>
          <c:h val="0.810758472296934"/>
        </c:manualLayout>
      </c:layout>
      <c:barChart>
        <c:barDir val="bar"/>
        <c:grouping val="clustered"/>
        <c:varyColors val="0"/>
        <c:ser>
          <c:idx val="0"/>
          <c:order val="0"/>
          <c:tx>
            <c:strRef>
              <c:f>Sheet1!$B$1</c:f>
              <c:strCache>
                <c:ptCount val="1"/>
                <c:pt idx="0">
                  <c:v>A.医生或药师提供更详细的用药指导和定期随访</c:v>
                </c:pt>
              </c:strCache>
            </c:strRef>
          </c:tx>
          <c:spPr>
            <a:gradFill>
              <a:gsLst>
                <a:gs pos="100000">
                  <a:schemeClr val="accent4">
                    <a:shade val="58000"/>
                  </a:schemeClr>
                </a:gs>
                <a:gs pos="0">
                  <a:schemeClr val="accent4">
                    <a:shade val="58000"/>
                    <a:hueOff val="-1670000"/>
                  </a:schemeClr>
                </a:gs>
              </a:gsLst>
              <a:lin ang="10800000" scaled="0"/>
            </a:gradFill>
            <a:ln>
              <a:gradFill>
                <a:gsLst>
                  <a:gs pos="100000">
                    <a:schemeClr val="accent4">
                      <a:shade val="58000"/>
                      <a:lumMod val="75000"/>
                    </a:schemeClr>
                  </a:gs>
                  <a:gs pos="0">
                    <a:schemeClr val="accent4">
                      <a:shade val="58000"/>
                      <a:lumMod val="75000"/>
                      <a:hueOff val="-1670000"/>
                    </a:schemeClr>
                  </a:gs>
                </a:gsLst>
                <a:lin ang="10800000" scaled="0"/>
              </a:gradFill>
            </a:ln>
            <a:effectLst/>
          </c:spPr>
          <c:invertIfNegative val="0"/>
          <c:dPt>
            <c:idx val="0"/>
            <c:invertIfNegative val="0"/>
            <c:bubble3D val="0"/>
          </c:dPt>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Sheet1!$B$2</c:f>
              <c:numCache>
                <c:formatCode>0%</c:formatCode>
                <c:ptCount val="1"/>
                <c:pt idx="0">
                  <c:v>0.15</c:v>
                </c:pt>
              </c:numCache>
            </c:numRef>
          </c:val>
        </c:ser>
        <c:ser>
          <c:idx val="1"/>
          <c:order val="1"/>
          <c:tx>
            <c:strRef>
              <c:f>Sheet1!$C$1</c:f>
              <c:strCache>
                <c:ptCount val="1"/>
                <c:pt idx="0">
                  <c:v>B.家人更多的提醒与监督</c:v>
                </c:pt>
              </c:strCache>
            </c:strRef>
          </c:tx>
          <c:spPr>
            <a:gradFill>
              <a:gsLst>
                <a:gs pos="100000">
                  <a:schemeClr val="accent4">
                    <a:shade val="86000"/>
                  </a:schemeClr>
                </a:gs>
                <a:gs pos="0">
                  <a:schemeClr val="accent4">
                    <a:shade val="86000"/>
                    <a:hueOff val="-1670000"/>
                  </a:schemeClr>
                </a:gs>
              </a:gsLst>
              <a:lin ang="10800000" scaled="0"/>
            </a:gradFill>
            <a:ln>
              <a:gradFill>
                <a:gsLst>
                  <a:gs pos="100000">
                    <a:schemeClr val="accent4">
                      <a:shade val="86000"/>
                      <a:lumMod val="75000"/>
                    </a:schemeClr>
                  </a:gs>
                  <a:gs pos="0">
                    <a:schemeClr val="accent4">
                      <a:shade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Sheet1!$C$2</c:f>
              <c:numCache>
                <c:formatCode>0%</c:formatCode>
                <c:ptCount val="1"/>
                <c:pt idx="0">
                  <c:v>0.38</c:v>
                </c:pt>
              </c:numCache>
            </c:numRef>
          </c:val>
        </c:ser>
        <c:ser>
          <c:idx val="2"/>
          <c:order val="2"/>
          <c:tx>
            <c:strRef>
              <c:f>Sheet1!$D$1</c:f>
              <c:strCache>
                <c:ptCount val="1"/>
                <c:pt idx="0">
                  <c:v>C.对药物有更深入的了解，知晓其重要性</c:v>
                </c:pt>
              </c:strCache>
            </c:strRef>
          </c:tx>
          <c:spPr>
            <a:gradFill>
              <a:gsLst>
                <a:gs pos="100000">
                  <a:schemeClr val="accent4">
                    <a:tint val="86000"/>
                  </a:schemeClr>
                </a:gs>
                <a:gs pos="0">
                  <a:schemeClr val="accent4">
                    <a:tint val="86000"/>
                    <a:hueOff val="-1670000"/>
                  </a:schemeClr>
                </a:gs>
              </a:gsLst>
              <a:lin ang="10800000" scaled="0"/>
            </a:gradFill>
            <a:ln>
              <a:gradFill>
                <a:gsLst>
                  <a:gs pos="100000">
                    <a:schemeClr val="accent4">
                      <a:tint val="86000"/>
                      <a:lumMod val="75000"/>
                    </a:schemeClr>
                  </a:gs>
                  <a:gs pos="0">
                    <a:schemeClr val="accent4">
                      <a:tint val="86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Sheet1!$D$2</c:f>
              <c:numCache>
                <c:formatCode>0%</c:formatCode>
                <c:ptCount val="1"/>
                <c:pt idx="0">
                  <c:v>0.22</c:v>
                </c:pt>
              </c:numCache>
            </c:numRef>
          </c:val>
        </c:ser>
        <c:ser>
          <c:idx val="3"/>
          <c:order val="3"/>
          <c:tx>
            <c:strRef>
              <c:f>Sheet1!$E$1</c:f>
              <c:strCache>
                <c:ptCount val="1"/>
                <c:pt idx="0">
                  <c:v>D.简化用药方案（如减少服药次数）</c:v>
                </c:pt>
              </c:strCache>
            </c:strRef>
          </c:tx>
          <c:spPr>
            <a:gradFill>
              <a:gsLst>
                <a:gs pos="100000">
                  <a:schemeClr val="accent4">
                    <a:tint val="58000"/>
                  </a:schemeClr>
                </a:gs>
                <a:gs pos="0">
                  <a:schemeClr val="accent4">
                    <a:tint val="58000"/>
                    <a:hueOff val="-1670000"/>
                  </a:schemeClr>
                </a:gs>
              </a:gsLst>
              <a:lin ang="10800000" scaled="0"/>
            </a:gradFill>
            <a:ln>
              <a:gradFill>
                <a:gsLst>
                  <a:gs pos="100000">
                    <a:schemeClr val="accent4">
                      <a:tint val="58000"/>
                      <a:lumMod val="75000"/>
                    </a:schemeClr>
                  </a:gs>
                  <a:gs pos="0">
                    <a:schemeClr val="accent4">
                      <a:tint val="58000"/>
                      <a:lumMod val="75000"/>
                      <a:hueOff val="-1670000"/>
                    </a:schemeClr>
                  </a:gs>
                </a:gsLst>
                <a:lin ang="10800000" scaled="0"/>
              </a:gradFill>
            </a:ln>
            <a:effectLst/>
          </c:spPr>
          <c:invertIfNegative val="0"/>
          <c:dLbls>
            <c:numFmt formatCode="General" sourceLinked="1"/>
            <c:spPr>
              <a:noFill/>
              <a:ln>
                <a:noFill/>
              </a:ln>
              <a:effectLst/>
            </c:spPr>
            <c:txPr>
              <a:bodyPr rot="0" spcFirstLastPara="0" vertOverflow="ellipsis" vert="horz" wrap="square" lIns="38100" tIns="19050" rIns="38100" bIns="19050" anchor="ctr" anchorCtr="1"/>
              <a:lstStyle/>
              <a:p>
                <a:pPr>
                  <a:defRPr lang="zh-CN" sz="1000" b="0" i="0" u="none" strike="noStrike" kern="1200" baseline="0">
                    <a:solidFill>
                      <a:schemeClr val="dk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a:solidFill>
                        <a:schemeClr val="dk1">
                          <a:lumMod val="35000"/>
                          <a:lumOff val="65000"/>
                        </a:schemeClr>
                      </a:solidFill>
                    </a:ln>
                    <a:effectLst/>
                  </c:spPr>
                </c15:leaderLines>
              </c:ext>
            </c:extLst>
          </c:dLbls>
          <c:cat>
            <c:strRef>
              <c:f>Sheet1!$A$2</c:f>
              <c:strCache>
                <c:ptCount val="1"/>
                <c:pt idx="0">
                  <c:v>占比</c:v>
                </c:pt>
              </c:strCache>
            </c:strRef>
          </c:cat>
          <c:val>
            <c:numRef>
              <c:f>Sheet1!$E$2</c:f>
              <c:numCache>
                <c:formatCode>0%</c:formatCode>
                <c:ptCount val="1"/>
                <c:pt idx="0">
                  <c:v>0.25</c:v>
                </c:pt>
              </c:numCache>
            </c:numRef>
          </c:val>
        </c:ser>
        <c:dLbls>
          <c:showLegendKey val="0"/>
          <c:showVal val="1"/>
          <c:showCatName val="0"/>
          <c:showSerName val="0"/>
          <c:showPercent val="0"/>
          <c:showBubbleSize val="0"/>
        </c:dLbls>
        <c:gapWidth val="140"/>
        <c:overlap val="-40"/>
        <c:axId val="786245726"/>
        <c:axId val="35448603"/>
      </c:barChart>
      <c:catAx>
        <c:axId val="786245726"/>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35448603"/>
        <c:crosses val="autoZero"/>
        <c:auto val="1"/>
        <c:lblAlgn val="ctr"/>
        <c:lblOffset val="100"/>
        <c:noMultiLvlLbl val="0"/>
      </c:catAx>
      <c:valAx>
        <c:axId val="35448603"/>
        <c:scaling>
          <c:orientation val="minMax"/>
        </c:scaling>
        <c:delete val="0"/>
        <c:axPos val="b"/>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crossAx val="786245726"/>
        <c:crosses val="autoZero"/>
        <c:crossBetween val="between"/>
      </c:valAx>
      <c:spPr>
        <a:noFill/>
        <a:ln>
          <a:noFill/>
        </a:ln>
        <a:effectLst/>
      </c:spPr>
    </c:plotArea>
    <c:legend>
      <c:legendPos val="r"/>
      <c:layout>
        <c:manualLayout>
          <c:xMode val="edge"/>
          <c:yMode val="edge"/>
          <c:x val="0.651628182356424"/>
          <c:y val="0.194190424959656"/>
          <c:w val="0.33392539964476"/>
          <c:h val="0.661646046261431"/>
        </c:manualLayout>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dk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730516fb-ee9b-4548-84ea-c61abdbeb398}"/>
      </c:ext>
    </c:extLst>
  </c:chart>
  <c:spPr>
    <a:noFill/>
    <a:ln w="9525" cap="flat" cmpd="sng" algn="ctr">
      <a:no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withinLinear" id="17">
  <a:schemeClr val="accent4"/>
</cs:colorStyle>
</file>

<file path=word/charts/colors2.xml><?xml version="1.0" encoding="utf-8"?>
<cs:colorStyle xmlns:cs="http://schemas.microsoft.com/office/drawing/2012/chartStyle" xmlns:a="http://schemas.openxmlformats.org/drawingml/2006/main" meth="withinLinear" id="17">
  <a:schemeClr val="accent4"/>
</cs:colorStyle>
</file>

<file path=word/charts/colors3.xml><?xml version="1.0" encoding="utf-8"?>
<cs:colorStyle xmlns:cs="http://schemas.microsoft.com/office/drawing/2012/chartStyle" xmlns:a="http://schemas.openxmlformats.org/drawingml/2006/main" meth="withinLinear" id="17">
  <a:schemeClr val="accent4"/>
</cs:colorStyle>
</file>

<file path=word/charts/colors4.xml><?xml version="1.0" encoding="utf-8"?>
<cs:colorStyle xmlns:cs="http://schemas.microsoft.com/office/drawing/2012/chartStyle" xmlns:a="http://schemas.openxmlformats.org/drawingml/2006/main" meth="withinLinear" id="17">
  <a:schemeClr val="accent4"/>
</cs:colorStyle>
</file>

<file path=word/charts/colors5.xml><?xml version="1.0" encoding="utf-8"?>
<cs:colorStyle xmlns:cs="http://schemas.microsoft.com/office/drawing/2012/chartStyle" xmlns:a="http://schemas.openxmlformats.org/drawingml/2006/main" meth="withinLinear" id="17">
  <a:schemeClr val="accent4"/>
</cs:colorStyle>
</file>

<file path=word/charts/colors6.xml><?xml version="1.0" encoding="utf-8"?>
<cs:colorStyle xmlns:cs="http://schemas.microsoft.com/office/drawing/2012/chartStyle" xmlns:a="http://schemas.openxmlformats.org/drawingml/2006/main" meth="withinLinear" id="17">
  <a:schemeClr val="accent4"/>
</cs:colorStyle>
</file>

<file path=word/charts/colors7.xml><?xml version="1.0" encoding="utf-8"?>
<cs:colorStyle xmlns:cs="http://schemas.microsoft.com/office/drawing/2012/chartStyle" xmlns:a="http://schemas.openxmlformats.org/drawingml/2006/main" meth="withinLinear" id="17">
  <a:schemeClr val="accent4"/>
</cs:colorStyle>
</file>

<file path=word/charts/colors8.xml><?xml version="1.0" encoding="utf-8"?>
<cs:colorStyle xmlns:cs="http://schemas.microsoft.com/office/drawing/2012/chartStyle" xmlns:a="http://schemas.openxmlformats.org/drawingml/2006/main" meth="withinLinear" id="17">
  <a:schemeClr val="accent4"/>
</cs:colorStyle>
</file>

<file path=word/charts/colors9.xml><?xml version="1.0" encoding="utf-8"?>
<cs:colorStyle xmlns:cs="http://schemas.microsoft.com/office/drawing/2012/chartStyle" xmlns:a="http://schemas.openxmlformats.org/drawingml/2006/main" meth="withinLinear" id="17">
  <a:schemeClr val="accent4"/>
</cs:colorStyle>
</file>

<file path=word/charts/colors10.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10126">
  <cs:axisTitle>
    <cs:lnRef idx="0"/>
    <cs:fillRef idx="0"/>
    <cs:effectRef idx="0"/>
    <cs:fontRef idx="minor">
      <a:schemeClr val="dk1">
        <a:lumMod val="65000"/>
        <a:lumOff val="35000"/>
      </a:schemeClr>
    </cs:fontRef>
    <cs:defRPr sz="10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lt1">
          <a:lumMod val="96000"/>
        </a:schemeClr>
      </a:solidFill>
      <a:ln w="9525" cap="flat" cmpd="sng" algn="ctr">
        <a:solidFill>
          <a:schemeClr val="tx1">
            <a:lumMod val="15000"/>
            <a:lumOff val="85000"/>
          </a:schemeClr>
        </a:solidFill>
        <a:round/>
      </a:ln>
    </cs:spPr>
    <cs:defRPr sz="1000" kern="1200"/>
  </cs:chartArea>
  <cs:dataLabel>
    <cs:lnRef idx="0"/>
    <cs:fillRef idx="0"/>
    <cs:effectRef idx="0"/>
    <cs:fontRef idx="minor">
      <a:schemeClr val="dk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gradFill>
        <a:gsLst>
          <a:gs pos="100000">
            <a:schemeClr val="phClr"/>
          </a:gs>
          <a:gs pos="0">
            <a:schemeClr val="phClr">
              <a:hueOff val="-1670000"/>
            </a:schemeClr>
          </a:gs>
        </a:gsLst>
        <a:lin ang="10800000" scaled="0"/>
      </a:gradFill>
      <a:ln>
        <a:gradFill>
          <a:gsLst>
            <a:gs pos="100000">
              <a:schemeClr val="phClr">
                <a:lumMod val="75000"/>
              </a:schemeClr>
            </a:gs>
            <a:gs pos="0">
              <a:schemeClr val="phClr">
                <a:lumMod val="75000"/>
                <a:hueOff val="-1670000"/>
              </a:schemeClr>
            </a:gs>
          </a:gsLst>
          <a:lin ang="10800000" scaled="0"/>
        </a:gra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a:solidFill>
          <a:schemeClr val="dk1">
            <a:lumMod val="35000"/>
            <a:lumOff val="65000"/>
          </a:schemeClr>
        </a:solidFill>
      </a:ln>
    </cs:spPr>
  </cs:dropLine>
  <cs:errorBar>
    <cs:lnRef idx="0"/>
    <cs:fillRef idx="0"/>
    <cs:effectRef idx="0"/>
    <cs:fontRef idx="minor">
      <a:schemeClr val="tx1"/>
    </cs:fontRef>
    <cs:spPr>
      <a:ln w="9525" cap="flat" cmpd="sng" algn="ctr">
        <a:solidFill>
          <a:schemeClr val="dk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a:solidFill>
          <a:schemeClr val="dk1">
            <a:lumMod val="75000"/>
            <a:lumOff val="25000"/>
          </a:schemeClr>
        </a:solidFill>
      </a:ln>
    </cs:spPr>
  </cs:hiLoLine>
  <cs:leaderLine>
    <cs:lnRef idx="0"/>
    <cs:fillRef idx="0"/>
    <cs:effectRef idx="0"/>
    <cs:fontRef idx="minor">
      <a:schemeClr val="tx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tx1"/>
    </cs:fontRef>
    <cs:spPr>
      <a:ln w="9525">
        <a:solidFill>
          <a:schemeClr val="dk1">
            <a:lumMod val="35000"/>
            <a:lumOff val="65000"/>
          </a:schemeClr>
        </a:solidFill>
      </a:ln>
    </cs:spPr>
  </cs:seriesLine>
  <cs:title>
    <cs:lnRef idx="0"/>
    <cs:fillRef idx="0"/>
    <cs:effectRef idx="0"/>
    <cs:fontRef idx="minor">
      <a:schemeClr val="dk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4678</Words>
  <Characters>4832</Characters>
  <Lines>0</Lines>
  <Paragraphs>0</Paragraphs>
  <TotalTime>0</TotalTime>
  <ScaleCrop>false</ScaleCrop>
  <LinksUpToDate>false</LinksUpToDate>
  <CharactersWithSpaces>4873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2025-11-05T09:18:00Z</dcterms:created>
  <dc:creator>Zara</dc:creator>
  <cp:lastModifiedBy>koki</cp:lastModifiedBy>
  <dcterms:modified xsi:type="dcterms:W3CDTF">2025-11-12T03:10:46Z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0B23C60C84D44AB08874084615FBB3BA_11</vt:lpwstr>
  </property>
  <property fmtid="{D5CDD505-2E9C-101B-9397-08002B2CF9AE}" pid="4" name="KSOTemplateDocerSaveRecord">
    <vt:lpwstr>eyJoZGlkIjoiNzMyNDZlYmFhMmNkMWYxOTZkNjcxNjlhNjFjMTBjYzYiLCJ1c2VySWQiOiIxMDg3ODE4ODA2In0=</vt:lpwstr>
  </property>
</Properties>
</file>