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641BC">
      <w:r>
        <w:rPr>
          <w:sz w:val="21"/>
        </w:rPr>
        <mc:AlternateContent>
          <mc:Choice Requires="wpg">
            <w:drawing>
              <wp:anchor distT="0" distB="0" distL="114300" distR="114300" simplePos="0" relativeHeight="251660288" behindDoc="0" locked="0" layoutInCell="1" allowOverlap="1">
                <wp:simplePos x="0" y="0"/>
                <wp:positionH relativeFrom="column">
                  <wp:posOffset>-291465</wp:posOffset>
                </wp:positionH>
                <wp:positionV relativeFrom="paragraph">
                  <wp:posOffset>1791335</wp:posOffset>
                </wp:positionV>
                <wp:extent cx="6283960" cy="2082800"/>
                <wp:effectExtent l="0" t="0" r="0" b="0"/>
                <wp:wrapNone/>
                <wp:docPr id="4" name="组合 4"/>
                <wp:cNvGraphicFramePr/>
                <a:graphic xmlns:a="http://schemas.openxmlformats.org/drawingml/2006/main">
                  <a:graphicData uri="http://schemas.microsoft.com/office/word/2010/wordprocessingGroup">
                    <wpg:wgp>
                      <wpg:cNvGrpSpPr/>
                      <wpg:grpSpPr>
                        <a:xfrm>
                          <a:off x="0" y="0"/>
                          <a:ext cx="6283960" cy="2082800"/>
                          <a:chOff x="10032" y="3544"/>
                          <a:chExt cx="9896" cy="3280"/>
                        </a:xfrm>
                      </wpg:grpSpPr>
                      <wps:wsp>
                        <wps:cNvPr id="6" name="文本框 6"/>
                        <wps:cNvSpPr txBox="1"/>
                        <wps:spPr>
                          <a:xfrm>
                            <a:off x="10032" y="4147"/>
                            <a:ext cx="9896" cy="215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A6CAA8">
                              <w:pPr>
                                <w:keepNext w:val="0"/>
                                <w:keepLines w:val="0"/>
                                <w:pageBreakBefore w:val="0"/>
                                <w:widowControl w:val="0"/>
                                <w:kinsoku/>
                                <w:wordWrap/>
                                <w:overflowPunct/>
                                <w:topLinePunct w:val="0"/>
                                <w:autoSpaceDE/>
                                <w:autoSpaceDN/>
                                <w:bidi w:val="0"/>
                                <w:adjustRightInd/>
                                <w:snapToGrid w:val="0"/>
                                <w:textAlignment w:val="auto"/>
                                <w:outlineLvl w:val="9"/>
                                <w:rPr>
                                  <w:rFonts w:hint="eastAsia" w:ascii="微软雅黑" w:hAnsi="微软雅黑" w:eastAsia="微软雅黑" w:cs="微软雅黑"/>
                                  <w:b/>
                                  <w:bCs/>
                                  <w:color w:val="92D050"/>
                                  <w:sz w:val="48"/>
                                  <w:szCs w:val="48"/>
                                  <w:lang w:val="en-US" w:eastAsia="zh-CN"/>
                                </w:rPr>
                              </w:pPr>
                              <w:r>
                                <w:rPr>
                                  <w:rFonts w:hint="eastAsia" w:ascii="思源黑体 CN Heavy" w:hAnsi="思源黑体 CN Heavy" w:eastAsia="思源黑体 CN Heavy" w:cs="思源黑体 CN Heavy"/>
                                  <w:color w:val="404040" w:themeColor="text1" w:themeTint="BF"/>
                                  <w:sz w:val="100"/>
                                  <w:szCs w:val="100"/>
                                  <w:lang w:val="en-US" w:eastAsia="zh-CN"/>
                                  <w14:textFill>
                                    <w14:solidFill>
                                      <w14:schemeClr w14:val="tx1">
                                        <w14:lumMod w14:val="75000"/>
                                        <w14:lumOff w14:val="25000"/>
                                      </w14:schemeClr>
                                    </w14:solidFill>
                                  </w14:textFill>
                                </w:rPr>
                                <w:t>问卷调研分析报告</w:t>
                              </w:r>
                            </w:p>
                            <w:p w14:paraId="6ECD21A8">
                              <w:pPr>
                                <w:rPr>
                                  <w:rFonts w:hint="default" w:ascii="思源黑体 CN Heavy" w:hAnsi="思源黑体 CN Heavy" w:eastAsia="思源黑体 CN Heavy" w:cs="思源黑体 CN Heavy"/>
                                  <w:color w:val="404040" w:themeColor="text1" w:themeTint="BF"/>
                                  <w:sz w:val="100"/>
                                  <w:szCs w:val="100"/>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 name="文本框 7"/>
                        <wps:cNvSpPr txBox="1"/>
                        <wps:spPr>
                          <a:xfrm>
                            <a:off x="11470" y="5880"/>
                            <a:ext cx="7810" cy="94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A84B70">
                              <w:pPr>
                                <w:jc w:val="distribute"/>
                                <w:rPr>
                                  <w:rFonts w:hint="default" w:ascii="思源黑体 CN Medium" w:hAnsi="思源黑体 CN Medium" w:eastAsia="思源黑体 CN Medium" w:cs="思源黑体 CN Medium"/>
                                  <w:color w:val="808080" w:themeColor="text1" w:themeTint="80"/>
                                  <w:sz w:val="36"/>
                                  <w:szCs w:val="36"/>
                                  <w:lang w:val="en-US" w:eastAsia="zh-CN"/>
                                  <w14:textFill>
                                    <w14:solidFill>
                                      <w14:schemeClr w14:val="tx1">
                                        <w14:lumMod w14:val="50000"/>
                                        <w14:lumOff w14:val="50000"/>
                                      </w14:schemeClr>
                                    </w14:solidFill>
                                  </w14:textFill>
                                </w:rPr>
                              </w:pPr>
                              <w:r>
                                <w:rPr>
                                  <w:rFonts w:hint="eastAsia" w:ascii="思源黑体 CN Medium" w:hAnsi="思源黑体 CN Medium" w:eastAsia="思源黑体 CN Medium" w:cs="思源黑体 CN Medium"/>
                                  <w:color w:val="808080" w:themeColor="text1" w:themeTint="80"/>
                                  <w:sz w:val="36"/>
                                  <w:szCs w:val="36"/>
                                  <w:lang w:val="en-US" w:eastAsia="zh-CN"/>
                                  <w14:textFill>
                                    <w14:solidFill>
                                      <w14:schemeClr w14:val="tx1">
                                        <w14:lumMod w14:val="50000"/>
                                        <w14:lumOff w14:val="50000"/>
                                      </w14:schemeClr>
                                    </w14:solidFill>
                                  </w14:textFill>
                                </w:rPr>
                                <w:t>QUESTIONNAIRE SURVEY ANALYSIS REPORT</w:t>
                              </w:r>
                            </w:p>
                            <w:p w14:paraId="73CE04CF">
                              <w:pPr>
                                <w:jc w:val="left"/>
                                <w:rPr>
                                  <w:rFonts w:hint="default" w:ascii="思源黑体 CN Medium" w:hAnsi="思源黑体 CN Medium" w:eastAsia="思源黑体 CN Medium" w:cs="思源黑体 CN Medium"/>
                                  <w:color w:val="808080" w:themeColor="text1" w:themeTint="80"/>
                                  <w:sz w:val="48"/>
                                  <w:szCs w:val="48"/>
                                  <w:lang w:val="en-US"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0" name="组合 10"/>
                        <wpg:cNvGrpSpPr/>
                        <wpg:grpSpPr>
                          <a:xfrm>
                            <a:off x="10184" y="6018"/>
                            <a:ext cx="1303" cy="643"/>
                            <a:chOff x="5646" y="4616"/>
                            <a:chExt cx="1303" cy="643"/>
                          </a:xfrm>
                        </wpg:grpSpPr>
                        <wps:wsp>
                          <wps:cNvPr id="8" name="圆角矩形 8"/>
                          <wps:cNvSpPr/>
                          <wps:spPr>
                            <a:xfrm>
                              <a:off x="5646" y="4752"/>
                              <a:ext cx="1303" cy="507"/>
                            </a:xfrm>
                            <a:prstGeom prst="roundRect">
                              <a:avLst/>
                            </a:prstGeom>
                            <a:solidFill>
                              <a:srgbClr val="4BBC9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文本框 9"/>
                          <wps:cNvSpPr txBox="1"/>
                          <wps:spPr>
                            <a:xfrm>
                              <a:off x="5786" y="4616"/>
                              <a:ext cx="1068" cy="5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630277">
                                <w:pPr>
                                  <w:jc w:val="distribute"/>
                                  <w:rPr>
                                    <w:rFonts w:hint="default" w:ascii="思源黑体 CN Medium" w:hAnsi="思源黑体 CN Medium" w:eastAsia="思源黑体 CN Medium" w:cs="思源黑体 CN Medium"/>
                                    <w:color w:val="FFFFFF" w:themeColor="background1"/>
                                    <w:sz w:val="28"/>
                                    <w:szCs w:val="36"/>
                                    <w:lang w:val="en-US" w:eastAsia="zh-CN"/>
                                    <w14:textFill>
                                      <w14:solidFill>
                                        <w14:schemeClr w14:val="bg1"/>
                                      </w14:solidFill>
                                    </w14:textFill>
                                  </w:rPr>
                                </w:pPr>
                                <w:r>
                                  <w:rPr>
                                    <w:rFonts w:hint="eastAsia" w:ascii="思源黑体 CN Medium" w:hAnsi="思源黑体 CN Medium" w:eastAsia="思源黑体 CN Medium" w:cs="思源黑体 CN Medium"/>
                                    <w:color w:val="FFFFFF" w:themeColor="background1"/>
                                    <w:sz w:val="28"/>
                                    <w:szCs w:val="36"/>
                                    <w:lang w:val="en-US" w:eastAsia="zh-CN"/>
                                    <w14:textFill>
                                      <w14:solidFill>
                                        <w14:schemeClr w14:val="bg1"/>
                                      </w14:solidFill>
                                    </w14:textFill>
                                  </w:rPr>
                                  <w:t>2025</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3" name="文本框 3"/>
                        <wps:cNvSpPr txBox="1"/>
                        <wps:spPr>
                          <a:xfrm>
                            <a:off x="10120" y="3544"/>
                            <a:ext cx="8906" cy="1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750F3A">
                              <w:pPr>
                                <w:rPr>
                                  <w:rFonts w:hint="default" w:ascii="思源黑体 CN Medium" w:hAnsi="思源黑体 CN Medium" w:eastAsia="思源黑体 CN Medium" w:cs="思源黑体 CN Medium"/>
                                  <w:color w:val="808080" w:themeColor="text1" w:themeTint="80"/>
                                  <w:sz w:val="36"/>
                                  <w:szCs w:val="36"/>
                                  <w:lang w:val="en-US" w:eastAsia="zh-CN"/>
                                  <w14:textFill>
                                    <w14:solidFill>
                                      <w14:schemeClr w14:val="tx1">
                                        <w14:lumMod w14:val="50000"/>
                                        <w14:lumOff w14:val="50000"/>
                                      </w14:schemeClr>
                                    </w14:solidFill>
                                  </w14:textFill>
                                </w:rPr>
                              </w:pPr>
                              <w:r>
                                <w:rPr>
                                  <w:rFonts w:hint="eastAsia" w:ascii="思源黑体 CN Medium" w:hAnsi="思源黑体 CN Medium" w:eastAsia="思源黑体 CN Medium" w:cs="思源黑体 CN Medium"/>
                                  <w:color w:val="808080" w:themeColor="text1" w:themeTint="80"/>
                                  <w:sz w:val="36"/>
                                  <w:szCs w:val="36"/>
                                  <w:lang w:val="en-US" w:eastAsia="zh-CN"/>
                                  <w14:textFill>
                                    <w14:solidFill>
                                      <w14:schemeClr w14:val="tx1">
                                        <w14:lumMod w14:val="50000"/>
                                        <w14:lumOff w14:val="50000"/>
                                      </w14:schemeClr>
                                    </w14:solidFill>
                                  </w14:textFill>
                                </w:rPr>
                                <w:t>厄贝沙坦氢氯噻嗪片对特定疾病领域的调研</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2.95pt;margin-top:141.05pt;height:164pt;width:494.8pt;z-index:251660288;mso-width-relative:page;mso-height-relative:page;" coordorigin="10032,3544" coordsize="9896,3280" o:gfxdata="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1vZYStwAAAALAQAADwAAAAAAAAABACAAAAAiAAAAZHJzL2Rvd25yZXYueG1sUEsB&#10;AhQAFAAAAAgAh07iQIG0CCQrBAAAYxEAAA4AAAAAAAAAAQAgAAAAKwEAAGRycy9lMm9Eb2MueG1s&#10;UEsFBgAAAAAGAAYAWQEAAMgHAAAAAA==&#10;">
                <o:lock v:ext="edit" aspectratio="f"/>
                <v:shape id="_x0000_s1026" o:spid="_x0000_s1026" o:spt="202" type="#_x0000_t202" style="position:absolute;left:10032;top:4147;height:2158;width:9896;" filled="f" stroked="f" coordsize="21600,21600" o:gfxdata="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7dr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66A6CAA8">
                        <w:pPr>
                          <w:keepNext w:val="0"/>
                          <w:keepLines w:val="0"/>
                          <w:pageBreakBefore w:val="0"/>
                          <w:widowControl w:val="0"/>
                          <w:kinsoku/>
                          <w:wordWrap/>
                          <w:overflowPunct/>
                          <w:topLinePunct w:val="0"/>
                          <w:autoSpaceDE/>
                          <w:autoSpaceDN/>
                          <w:bidi w:val="0"/>
                          <w:adjustRightInd/>
                          <w:snapToGrid w:val="0"/>
                          <w:textAlignment w:val="auto"/>
                          <w:outlineLvl w:val="9"/>
                          <w:rPr>
                            <w:rFonts w:hint="eastAsia" w:ascii="微软雅黑" w:hAnsi="微软雅黑" w:eastAsia="微软雅黑" w:cs="微软雅黑"/>
                            <w:b/>
                            <w:bCs/>
                            <w:color w:val="92D050"/>
                            <w:sz w:val="48"/>
                            <w:szCs w:val="48"/>
                            <w:lang w:val="en-US" w:eastAsia="zh-CN"/>
                          </w:rPr>
                        </w:pPr>
                        <w:r>
                          <w:rPr>
                            <w:rFonts w:hint="eastAsia" w:ascii="思源黑体 CN Heavy" w:hAnsi="思源黑体 CN Heavy" w:eastAsia="思源黑体 CN Heavy" w:cs="思源黑体 CN Heavy"/>
                            <w:color w:val="404040" w:themeColor="text1" w:themeTint="BF"/>
                            <w:sz w:val="100"/>
                            <w:szCs w:val="100"/>
                            <w:lang w:val="en-US" w:eastAsia="zh-CN"/>
                            <w14:textFill>
                              <w14:solidFill>
                                <w14:schemeClr w14:val="tx1">
                                  <w14:lumMod w14:val="75000"/>
                                  <w14:lumOff w14:val="25000"/>
                                </w14:schemeClr>
                              </w14:solidFill>
                            </w14:textFill>
                          </w:rPr>
                          <w:t>问卷调研分析报告</w:t>
                        </w:r>
                      </w:p>
                      <w:p w14:paraId="6ECD21A8">
                        <w:pPr>
                          <w:rPr>
                            <w:rFonts w:hint="default" w:ascii="思源黑体 CN Heavy" w:hAnsi="思源黑体 CN Heavy" w:eastAsia="思源黑体 CN Heavy" w:cs="思源黑体 CN Heavy"/>
                            <w:color w:val="404040" w:themeColor="text1" w:themeTint="BF"/>
                            <w:sz w:val="100"/>
                            <w:szCs w:val="100"/>
                            <w:lang w:val="en-US" w:eastAsia="zh-CN"/>
                            <w14:textFill>
                              <w14:solidFill>
                                <w14:schemeClr w14:val="tx1">
                                  <w14:lumMod w14:val="75000"/>
                                  <w14:lumOff w14:val="25000"/>
                                </w14:schemeClr>
                              </w14:solidFill>
                            </w14:textFill>
                          </w:rPr>
                        </w:pPr>
                      </w:p>
                    </w:txbxContent>
                  </v:textbox>
                </v:shape>
                <v:shape id="_x0000_s1026" o:spid="_x0000_s1026" o:spt="202" type="#_x0000_t202" style="position:absolute;left:11470;top:5880;height:944;width:7810;" filled="f" stroked="f" coordsize="21600,21600" o:gfxdata="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XEvC/&#10;AAAA2g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18A84B70">
                        <w:pPr>
                          <w:jc w:val="distribute"/>
                          <w:rPr>
                            <w:rFonts w:hint="default" w:ascii="思源黑体 CN Medium" w:hAnsi="思源黑体 CN Medium" w:eastAsia="思源黑体 CN Medium" w:cs="思源黑体 CN Medium"/>
                            <w:color w:val="808080" w:themeColor="text1" w:themeTint="80"/>
                            <w:sz w:val="36"/>
                            <w:szCs w:val="36"/>
                            <w:lang w:val="en-US" w:eastAsia="zh-CN"/>
                            <w14:textFill>
                              <w14:solidFill>
                                <w14:schemeClr w14:val="tx1">
                                  <w14:lumMod w14:val="50000"/>
                                  <w14:lumOff w14:val="50000"/>
                                </w14:schemeClr>
                              </w14:solidFill>
                            </w14:textFill>
                          </w:rPr>
                        </w:pPr>
                        <w:r>
                          <w:rPr>
                            <w:rFonts w:hint="eastAsia" w:ascii="思源黑体 CN Medium" w:hAnsi="思源黑体 CN Medium" w:eastAsia="思源黑体 CN Medium" w:cs="思源黑体 CN Medium"/>
                            <w:color w:val="808080" w:themeColor="text1" w:themeTint="80"/>
                            <w:sz w:val="36"/>
                            <w:szCs w:val="36"/>
                            <w:lang w:val="en-US" w:eastAsia="zh-CN"/>
                            <w14:textFill>
                              <w14:solidFill>
                                <w14:schemeClr w14:val="tx1">
                                  <w14:lumMod w14:val="50000"/>
                                  <w14:lumOff w14:val="50000"/>
                                </w14:schemeClr>
                              </w14:solidFill>
                            </w14:textFill>
                          </w:rPr>
                          <w:t>QUESTIONNAIRE SURVEY ANALYSIS REPORT</w:t>
                        </w:r>
                      </w:p>
                      <w:p w14:paraId="73CE04CF">
                        <w:pPr>
                          <w:jc w:val="left"/>
                          <w:rPr>
                            <w:rFonts w:hint="default" w:ascii="思源黑体 CN Medium" w:hAnsi="思源黑体 CN Medium" w:eastAsia="思源黑体 CN Medium" w:cs="思源黑体 CN Medium"/>
                            <w:color w:val="808080" w:themeColor="text1" w:themeTint="80"/>
                            <w:sz w:val="48"/>
                            <w:szCs w:val="48"/>
                            <w:lang w:val="en-US" w:eastAsia="zh-CN"/>
                            <w14:textFill>
                              <w14:solidFill>
                                <w14:schemeClr w14:val="tx1">
                                  <w14:lumMod w14:val="50000"/>
                                  <w14:lumOff w14:val="50000"/>
                                </w14:schemeClr>
                              </w14:solidFill>
                            </w14:textFill>
                          </w:rPr>
                        </w:pPr>
                      </w:p>
                    </w:txbxContent>
                  </v:textbox>
                </v:shape>
                <v:group id="_x0000_s1026" o:spid="_x0000_s1026" o:spt="203" style="position:absolute;left:10184;top:6018;height:643;width:1303;" coordorigin="5646,4616" coordsize="1303,64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oundrect id="_x0000_s1026" o:spid="_x0000_s1026" o:spt="2" style="position:absolute;left:5646;top:4752;height:507;width:1303;v-text-anchor:middle;" fillcolor="#4BBC91" filled="t" stroked="f" coordsize="21600,21600" arcsize="0.166666666666667" o:gfxdata="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EIK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oundrect>
                  <v:shape id="_x0000_s1026" o:spid="_x0000_s1026" o:spt="202" type="#_x0000_t202" style="position:absolute;left:5786;top:4616;height:588;width:1068;" filled="f" stroked="f" coordsize="21600,21600" o:gfxdata="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QjGb4A&#10;AADa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2630277">
                          <w:pPr>
                            <w:jc w:val="distribute"/>
                            <w:rPr>
                              <w:rFonts w:hint="default" w:ascii="思源黑体 CN Medium" w:hAnsi="思源黑体 CN Medium" w:eastAsia="思源黑体 CN Medium" w:cs="思源黑体 CN Medium"/>
                              <w:color w:val="FFFFFF" w:themeColor="background1"/>
                              <w:sz w:val="28"/>
                              <w:szCs w:val="36"/>
                              <w:lang w:val="en-US" w:eastAsia="zh-CN"/>
                              <w14:textFill>
                                <w14:solidFill>
                                  <w14:schemeClr w14:val="bg1"/>
                                </w14:solidFill>
                              </w14:textFill>
                            </w:rPr>
                          </w:pPr>
                          <w:r>
                            <w:rPr>
                              <w:rFonts w:hint="eastAsia" w:ascii="思源黑体 CN Medium" w:hAnsi="思源黑体 CN Medium" w:eastAsia="思源黑体 CN Medium" w:cs="思源黑体 CN Medium"/>
                              <w:color w:val="FFFFFF" w:themeColor="background1"/>
                              <w:sz w:val="28"/>
                              <w:szCs w:val="36"/>
                              <w:lang w:val="en-US" w:eastAsia="zh-CN"/>
                              <w14:textFill>
                                <w14:solidFill>
                                  <w14:schemeClr w14:val="bg1"/>
                                </w14:solidFill>
                              </w14:textFill>
                            </w:rPr>
                            <w:t>2025</w:t>
                          </w:r>
                        </w:p>
                      </w:txbxContent>
                    </v:textbox>
                  </v:shape>
                </v:group>
                <v:shape id="_x0000_s1026" o:spid="_x0000_s1026" o:spt="202" type="#_x0000_t202" style="position:absolute;left:10120;top:3544;height:1095;width:8906;" filled="f" stroked="f" coordsize="21600,21600" o:gfxdata="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sFPO/&#10;AAAA2g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51750F3A">
                        <w:pPr>
                          <w:rPr>
                            <w:rFonts w:hint="default" w:ascii="思源黑体 CN Medium" w:hAnsi="思源黑体 CN Medium" w:eastAsia="思源黑体 CN Medium" w:cs="思源黑体 CN Medium"/>
                            <w:color w:val="808080" w:themeColor="text1" w:themeTint="80"/>
                            <w:sz w:val="36"/>
                            <w:szCs w:val="36"/>
                            <w:lang w:val="en-US" w:eastAsia="zh-CN"/>
                            <w14:textFill>
                              <w14:solidFill>
                                <w14:schemeClr w14:val="tx1">
                                  <w14:lumMod w14:val="50000"/>
                                  <w14:lumOff w14:val="50000"/>
                                </w14:schemeClr>
                              </w14:solidFill>
                            </w14:textFill>
                          </w:rPr>
                        </w:pPr>
                        <w:r>
                          <w:rPr>
                            <w:rFonts w:hint="eastAsia" w:ascii="思源黑体 CN Medium" w:hAnsi="思源黑体 CN Medium" w:eastAsia="思源黑体 CN Medium" w:cs="思源黑体 CN Medium"/>
                            <w:color w:val="808080" w:themeColor="text1" w:themeTint="80"/>
                            <w:sz w:val="36"/>
                            <w:szCs w:val="36"/>
                            <w:lang w:val="en-US" w:eastAsia="zh-CN"/>
                            <w14:textFill>
                              <w14:solidFill>
                                <w14:schemeClr w14:val="tx1">
                                  <w14:lumMod w14:val="50000"/>
                                  <w14:lumOff w14:val="50000"/>
                                </w14:schemeClr>
                              </w14:solidFill>
                            </w14:textFill>
                          </w:rPr>
                          <w:t>厄贝沙坦氢氯噻嗪片对特定疾病领域的调研</w:t>
                        </w:r>
                      </w:p>
                    </w:txbxContent>
                  </v:textbox>
                </v:shape>
              </v:group>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-341630</wp:posOffset>
                </wp:positionH>
                <wp:positionV relativeFrom="paragraph">
                  <wp:posOffset>8093710</wp:posOffset>
                </wp:positionV>
                <wp:extent cx="4959350" cy="890270"/>
                <wp:effectExtent l="0" t="0" r="0" b="0"/>
                <wp:wrapNone/>
                <wp:docPr id="5" name="文本框 5"/>
                <wp:cNvGraphicFramePr/>
                <a:graphic xmlns:a="http://schemas.openxmlformats.org/drawingml/2006/main">
                  <a:graphicData uri="http://schemas.microsoft.com/office/word/2010/wordprocessingShape">
                    <wps:wsp>
                      <wps:cNvSpPr txBox="1"/>
                      <wps:spPr>
                        <a:xfrm>
                          <a:off x="0" y="0"/>
                          <a:ext cx="4959350" cy="890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F65262">
                            <w:pPr>
                              <w:keepNext w:val="0"/>
                              <w:keepLines w:val="0"/>
                              <w:pageBreakBefore w:val="0"/>
                              <w:widowControl w:val="0"/>
                              <w:kinsoku/>
                              <w:wordWrap/>
                              <w:overflowPunct/>
                              <w:topLinePunct w:val="0"/>
                              <w:autoSpaceDE/>
                              <w:autoSpaceDN/>
                              <w:bidi w:val="0"/>
                              <w:adjustRightInd/>
                              <w:snapToGrid/>
                              <w:jc w:val="left"/>
                              <w:textAlignment w:val="auto"/>
                              <w:rPr>
                                <w:rFonts w:hint="default" w:ascii="思源黑体 CN Medium" w:hAnsi="思源黑体 CN Medium" w:eastAsia="思源黑体 CN Medium" w:cs="思源黑体 CN Medium"/>
                                <w:color w:val="808080" w:themeColor="text1" w:themeTint="80"/>
                                <w:sz w:val="32"/>
                                <w:szCs w:val="32"/>
                                <w:lang w:val="en-US" w:eastAsia="zh-CN"/>
                                <w14:textFill>
                                  <w14:solidFill>
                                    <w14:schemeClr w14:val="tx1">
                                      <w14:lumMod w14:val="50000"/>
                                      <w14:lumOff w14:val="50000"/>
                                    </w14:schemeClr>
                                  </w14:solidFill>
                                </w14:textFill>
                              </w:rPr>
                            </w:pPr>
                            <w:r>
                              <w:rPr>
                                <w:rFonts w:hint="eastAsia" w:ascii="思源黑体 CN Medium" w:hAnsi="思源黑体 CN Medium" w:eastAsia="思源黑体 CN Medium" w:cs="思源黑体 CN Medium"/>
                                <w:color w:val="808080" w:themeColor="text1" w:themeTint="80"/>
                                <w:sz w:val="32"/>
                                <w:szCs w:val="32"/>
                                <w:lang w:val="en-US" w:eastAsia="zh-CN"/>
                                <w14:textFill>
                                  <w14:solidFill>
                                    <w14:schemeClr w14:val="tx1">
                                      <w14:lumMod w14:val="50000"/>
                                      <w14:lumOff w14:val="50000"/>
                                    </w14:schemeClr>
                                  </w14:solidFill>
                                </w14:textFill>
                              </w:rPr>
                              <w:t>国开（天津）信息科技有限公司</w:t>
                            </w:r>
                            <w:r>
                              <w:rPr>
                                <w:rFonts w:hint="eastAsia" w:ascii="思源黑体 CN Medium" w:hAnsi="思源黑体 CN Medium" w:eastAsia="思源黑体 CN Medium" w:cs="思源黑体 CN Medium"/>
                                <w:color w:val="808080" w:themeColor="text1" w:themeTint="80"/>
                                <w:sz w:val="32"/>
                                <w:szCs w:val="32"/>
                                <w:lang w:val="en-US" w:eastAsia="zh-CN"/>
                                <w14:textFill>
                                  <w14:solidFill>
                                    <w14:schemeClr w14:val="tx1">
                                      <w14:lumMod w14:val="50000"/>
                                      <w14:lumOff w14:val="50000"/>
                                    </w14:schemeClr>
                                  </w14:solidFill>
                                </w14:textFill>
                              </w:rPr>
                              <w:br w:type="textWrapping"/>
                            </w:r>
                            <w:r>
                              <w:rPr>
                                <w:rFonts w:hint="eastAsia" w:ascii="思源黑体 CN Medium" w:hAnsi="思源黑体 CN Medium" w:eastAsia="思源黑体 CN Medium" w:cs="思源黑体 CN Medium"/>
                                <w:color w:val="808080" w:themeColor="text1" w:themeTint="80"/>
                                <w:sz w:val="32"/>
                                <w:szCs w:val="32"/>
                                <w:lang w:val="en-US" w:eastAsia="zh-CN"/>
                                <w14:textFill>
                                  <w14:solidFill>
                                    <w14:schemeClr w14:val="tx1">
                                      <w14:lumMod w14:val="50000"/>
                                      <w14:lumOff w14:val="50000"/>
                                    </w14:schemeClr>
                                  </w14:solidFill>
                                </w14:textFill>
                              </w:rPr>
                              <w:t>2025.10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9pt;margin-top:637.3pt;height:70.1pt;width:390.5pt;z-index:251661312;mso-width-relative:page;mso-height-relative:page;" filled="f" stroked="f" coordsize="21600,21600" o:gfxdata="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4fNGreAAAADQEAAA8AAAAAAAAAAQAgAAAAIgAA&#10;AGRycy9kb3ducmV2LnhtbFBLAQIUABQAAAAIAIdO4kC5cpo4OwIAAGYEAAAOAAAAAAAAAAEAIAAA&#10;AC0BAABkcnMvZTJvRG9jLnhtbFBLBQYAAAAABgAGAFkBAADaBQAAAAA=&#10;">
                <v:fill on="f" focussize="0,0"/>
                <v:stroke on="f" weight="0.5pt"/>
                <v:imagedata o:title=""/>
                <o:lock v:ext="edit" aspectratio="f"/>
                <v:textbox>
                  <w:txbxContent>
                    <w:p w14:paraId="1BF65262">
                      <w:pPr>
                        <w:keepNext w:val="0"/>
                        <w:keepLines w:val="0"/>
                        <w:pageBreakBefore w:val="0"/>
                        <w:widowControl w:val="0"/>
                        <w:kinsoku/>
                        <w:wordWrap/>
                        <w:overflowPunct/>
                        <w:topLinePunct w:val="0"/>
                        <w:autoSpaceDE/>
                        <w:autoSpaceDN/>
                        <w:bidi w:val="0"/>
                        <w:adjustRightInd/>
                        <w:snapToGrid/>
                        <w:jc w:val="left"/>
                        <w:textAlignment w:val="auto"/>
                        <w:rPr>
                          <w:rFonts w:hint="default" w:ascii="思源黑体 CN Medium" w:hAnsi="思源黑体 CN Medium" w:eastAsia="思源黑体 CN Medium" w:cs="思源黑体 CN Medium"/>
                          <w:color w:val="808080" w:themeColor="text1" w:themeTint="80"/>
                          <w:sz w:val="32"/>
                          <w:szCs w:val="32"/>
                          <w:lang w:val="en-US" w:eastAsia="zh-CN"/>
                          <w14:textFill>
                            <w14:solidFill>
                              <w14:schemeClr w14:val="tx1">
                                <w14:lumMod w14:val="50000"/>
                                <w14:lumOff w14:val="50000"/>
                              </w14:schemeClr>
                            </w14:solidFill>
                          </w14:textFill>
                        </w:rPr>
                      </w:pPr>
                      <w:r>
                        <w:rPr>
                          <w:rFonts w:hint="eastAsia" w:ascii="思源黑体 CN Medium" w:hAnsi="思源黑体 CN Medium" w:eastAsia="思源黑体 CN Medium" w:cs="思源黑体 CN Medium"/>
                          <w:color w:val="808080" w:themeColor="text1" w:themeTint="80"/>
                          <w:sz w:val="32"/>
                          <w:szCs w:val="32"/>
                          <w:lang w:val="en-US" w:eastAsia="zh-CN"/>
                          <w14:textFill>
                            <w14:solidFill>
                              <w14:schemeClr w14:val="tx1">
                                <w14:lumMod w14:val="50000"/>
                                <w14:lumOff w14:val="50000"/>
                              </w14:schemeClr>
                            </w14:solidFill>
                          </w14:textFill>
                        </w:rPr>
                        <w:t>国开（天津）信息科技有限公司</w:t>
                      </w:r>
                      <w:r>
                        <w:rPr>
                          <w:rFonts w:hint="eastAsia" w:ascii="思源黑体 CN Medium" w:hAnsi="思源黑体 CN Medium" w:eastAsia="思源黑体 CN Medium" w:cs="思源黑体 CN Medium"/>
                          <w:color w:val="808080" w:themeColor="text1" w:themeTint="80"/>
                          <w:sz w:val="32"/>
                          <w:szCs w:val="32"/>
                          <w:lang w:val="en-US" w:eastAsia="zh-CN"/>
                          <w14:textFill>
                            <w14:solidFill>
                              <w14:schemeClr w14:val="tx1">
                                <w14:lumMod w14:val="50000"/>
                                <w14:lumOff w14:val="50000"/>
                              </w14:schemeClr>
                            </w14:solidFill>
                          </w14:textFill>
                        </w:rPr>
                        <w:br w:type="textWrapping"/>
                      </w:r>
                      <w:r>
                        <w:rPr>
                          <w:rFonts w:hint="eastAsia" w:ascii="思源黑体 CN Medium" w:hAnsi="思源黑体 CN Medium" w:eastAsia="思源黑体 CN Medium" w:cs="思源黑体 CN Medium"/>
                          <w:color w:val="808080" w:themeColor="text1" w:themeTint="80"/>
                          <w:sz w:val="32"/>
                          <w:szCs w:val="32"/>
                          <w:lang w:val="en-US" w:eastAsia="zh-CN"/>
                          <w14:textFill>
                            <w14:solidFill>
                              <w14:schemeClr w14:val="tx1">
                                <w14:lumMod w14:val="50000"/>
                                <w14:lumOff w14:val="50000"/>
                              </w14:schemeClr>
                            </w14:solidFill>
                          </w14:textFill>
                        </w:rPr>
                        <w:t>2025.10</w:t>
                      </w:r>
                    </w:p>
                  </w:txbxContent>
                </v:textbox>
              </v:shape>
            </w:pict>
          </mc:Fallback>
        </mc:AlternateContent>
      </w:r>
      <w:r>
        <w:rPr>
          <w:rFonts w:hint="eastAsia" w:eastAsiaTheme="minorEastAsia"/>
          <w:lang w:eastAsia="zh-CN"/>
        </w:rPr>
        <w:drawing>
          <wp:anchor distT="0" distB="0" distL="114300" distR="114300" simplePos="0" relativeHeight="251659264" behindDoc="1" locked="0" layoutInCell="1" allowOverlap="1">
            <wp:simplePos x="0" y="0"/>
            <wp:positionH relativeFrom="column">
              <wp:posOffset>-1169035</wp:posOffset>
            </wp:positionH>
            <wp:positionV relativeFrom="page">
              <wp:posOffset>-13335</wp:posOffset>
            </wp:positionV>
            <wp:extent cx="7585710" cy="10727690"/>
            <wp:effectExtent l="0" t="0" r="8890" b="3810"/>
            <wp:wrapNone/>
            <wp:docPr id="1" name="图片 1" descr="F:\素材收集\封面\尺寸-封面3.jpg尺寸-封面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素材收集\封面\尺寸-封面3.jpg尺寸-封面3"/>
                    <pic:cNvPicPr>
                      <a:picLocks noChangeAspect="1"/>
                    </pic:cNvPicPr>
                  </pic:nvPicPr>
                  <pic:blipFill>
                    <a:blip r:embed="rId5"/>
                    <a:srcRect/>
                    <a:stretch>
                      <a:fillRect/>
                    </a:stretch>
                  </pic:blipFill>
                  <pic:spPr>
                    <a:xfrm>
                      <a:off x="0" y="0"/>
                      <a:ext cx="7585710" cy="10727690"/>
                    </a:xfrm>
                    <a:prstGeom prst="rect">
                      <a:avLst/>
                    </a:prstGeom>
                  </pic:spPr>
                </pic:pic>
              </a:graphicData>
            </a:graphic>
          </wp:anchor>
        </w:drawing>
      </w:r>
    </w:p>
    <w:p w14:paraId="0AAB41C9"/>
    <w:p w14:paraId="4CE5A149"/>
    <w:p w14:paraId="2AC79EE9"/>
    <w:p w14:paraId="5EDB332E"/>
    <w:p w14:paraId="792380D1"/>
    <w:p w14:paraId="4C7A8330"/>
    <w:p w14:paraId="2AF66033"/>
    <w:p w14:paraId="177C4290"/>
    <w:p w14:paraId="6A65DAB7"/>
    <w:p w14:paraId="6153E892"/>
    <w:p w14:paraId="1B2ED61C"/>
    <w:p w14:paraId="4FF88FD3"/>
    <w:p w14:paraId="3C3E6C3F"/>
    <w:p w14:paraId="434C282C"/>
    <w:p w14:paraId="48E853A9"/>
    <w:p w14:paraId="3C99D92B"/>
    <w:p w14:paraId="49A8C284"/>
    <w:p w14:paraId="49BC83E5"/>
    <w:p w14:paraId="43E4F8EB"/>
    <w:p w14:paraId="6DAB0D6E"/>
    <w:p w14:paraId="12AE03A5"/>
    <w:p w14:paraId="2D66AF36"/>
    <w:p w14:paraId="1B25A85F"/>
    <w:p w14:paraId="77709D90"/>
    <w:p w14:paraId="614D2A46"/>
    <w:p w14:paraId="205B8B37"/>
    <w:p w14:paraId="3DAA7851"/>
    <w:p w14:paraId="790CF145"/>
    <w:p w14:paraId="1FD7AA0E"/>
    <w:p w14:paraId="56400A4A"/>
    <w:p w14:paraId="77F06C89"/>
    <w:p w14:paraId="759C46C9"/>
    <w:p w14:paraId="7B0BD319"/>
    <w:p w14:paraId="29A59155"/>
    <w:p w14:paraId="1E1B1CF1"/>
    <w:p w14:paraId="393476AD"/>
    <w:p w14:paraId="6C7B8206"/>
    <w:p w14:paraId="7C6ACA2E"/>
    <w:p w14:paraId="44061025"/>
    <w:p w14:paraId="4805537C"/>
    <w:p w14:paraId="03AD4624"/>
    <w:p w14:paraId="38CBE3B1"/>
    <w:p w14:paraId="6B1DE28C"/>
    <w:p w14:paraId="48EFDA26">
      <w:pPr>
        <w:sectPr>
          <w:pgSz w:w="11906" w:h="16838"/>
          <w:pgMar w:top="1440" w:right="1800" w:bottom="1440" w:left="1800" w:header="851" w:footer="992" w:gutter="0"/>
          <w:cols w:space="425" w:num="1"/>
          <w:docGrid w:type="lines" w:linePitch="312" w:charSpace="0"/>
        </w:sectPr>
      </w:pPr>
    </w:p>
    <w:p w14:paraId="7FD00404">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0" w:leftChars="0" w:firstLine="0" w:firstLineChars="0"/>
        <w:textAlignment w:val="auto"/>
        <w:outlineLvl w:val="0"/>
        <w:rPr>
          <w:rFonts w:hint="eastAsia" w:ascii="宋体" w:hAnsi="宋体" w:eastAsia="宋体" w:cs="宋体"/>
          <w:sz w:val="40"/>
          <w:szCs w:val="40"/>
        </w:rPr>
      </w:pPr>
      <w:r>
        <w:rPr>
          <w:rFonts w:hint="eastAsia" w:ascii="宋体" w:hAnsi="宋体" w:eastAsia="宋体" w:cs="宋体"/>
          <w:b/>
          <w:bCs/>
          <w:color w:val="75BD42" w:themeColor="accent4"/>
          <w:sz w:val="40"/>
          <w:szCs w:val="40"/>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引言</w:t>
      </w:r>
    </w:p>
    <w:p w14:paraId="17587EBE">
      <w:pPr>
        <w:keepNext w:val="0"/>
        <w:keepLines w:val="0"/>
        <w:pageBreakBefore w:val="0"/>
        <w:widowControl w:val="0"/>
        <w:numPr>
          <w:ilvl w:val="0"/>
          <w:numId w:val="2"/>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sz w:val="32"/>
          <w:szCs w:val="32"/>
        </w:rPr>
      </w:pPr>
      <w:bookmarkStart w:id="0" w:name="_Toc22672"/>
      <w:r>
        <w:rPr>
          <w:rFonts w:hint="eastAsia" w:asciiTheme="minorEastAsia" w:hAnsiTheme="minorEastAsia" w:eastAsiaTheme="minorEastAsia" w:cstheme="minorEastAsia"/>
          <w:b/>
          <w:bCs/>
          <w:sz w:val="32"/>
          <w:szCs w:val="32"/>
        </w:rPr>
        <w:t>报告背景</w:t>
      </w:r>
      <w:bookmarkEnd w:id="0"/>
    </w:p>
    <w:p w14:paraId="40EAA7EA">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60" w:lineRule="auto"/>
        <w:ind w:left="0" w:leftChars="0" w:firstLine="560" w:firstLineChars="200"/>
        <w:textAlignment w:val="auto"/>
        <w:outlineLvl w:val="9"/>
        <w:rPr>
          <w:rFonts w:hint="eastAsia" w:asciiTheme="minorEastAsia" w:hAnsiTheme="minorEastAsia" w:eastAsiaTheme="minorEastAsia" w:cstheme="minorEastAsia"/>
          <w:sz w:val="32"/>
          <w:szCs w:val="32"/>
          <w:highlight w:val="none"/>
        </w:rPr>
      </w:pPr>
      <w:r>
        <w:rPr>
          <w:rFonts w:hint="eastAsia" w:asciiTheme="minorEastAsia" w:hAnsiTheme="minorEastAsia" w:eastAsiaTheme="minorEastAsia" w:cstheme="minorEastAsia"/>
          <w:sz w:val="28"/>
          <w:szCs w:val="28"/>
          <w:highlight w:val="none"/>
          <w:lang w:val="en-US" w:eastAsia="zh-CN"/>
        </w:rPr>
        <w:t>厄贝沙坦氢氯噻嗪片作为临床常用降压药物，其用药疗效、安全性及患者体验直接关系到原发性高血压患者的健康管理效果。为全面、精准掌握该药物在新疆维吾尔自治区原发性高血压患者群体中的实际应用情况，特开展本次针对性问卷调查。通过系统收集患者服药后的血压控制效果、不良反应发生情况、用药依从性、饮食配合度，以及对药物价格、剂型、用药指导等方面的反馈，深入挖掘临床应用中的优势与待优化点，为药物临床合理应用、生产工艺改进及患者用药服务升级提供真实可靠的参考依据，助力更好地满足当地患者的个性化治疗需求</w:t>
      </w:r>
      <w:r>
        <w:rPr>
          <w:rFonts w:hint="eastAsia" w:asciiTheme="minorEastAsia" w:hAnsiTheme="minorEastAsia" w:cstheme="minorEastAsia"/>
          <w:sz w:val="28"/>
          <w:szCs w:val="28"/>
          <w:highlight w:val="none"/>
          <w:lang w:val="en-US" w:eastAsia="zh-CN"/>
        </w:rPr>
        <w:t>。</w:t>
      </w:r>
    </w:p>
    <w:p w14:paraId="13A8FB36">
      <w:pPr>
        <w:keepNext w:val="0"/>
        <w:keepLines w:val="0"/>
        <w:pageBreakBefore w:val="0"/>
        <w:widowControl w:val="0"/>
        <w:numPr>
          <w:ilvl w:val="0"/>
          <w:numId w:val="2"/>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sz w:val="32"/>
          <w:szCs w:val="32"/>
          <w:highlight w:val="none"/>
        </w:rPr>
      </w:pPr>
      <w:r>
        <w:rPr>
          <w:rFonts w:hint="eastAsia" w:asciiTheme="minorEastAsia" w:hAnsiTheme="minorEastAsia" w:eastAsiaTheme="minorEastAsia" w:cstheme="minorEastAsia"/>
          <w:b/>
          <w:bCs/>
          <w:sz w:val="32"/>
          <w:szCs w:val="32"/>
          <w:highlight w:val="none"/>
        </w:rPr>
        <w:t>数据来源</w:t>
      </w:r>
    </w:p>
    <w:p w14:paraId="3F8E0027">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sz w:val="28"/>
          <w:szCs w:val="28"/>
          <w:highlight w:val="none"/>
          <w:lang w:val="en-US" w:eastAsia="zh-CN"/>
        </w:rPr>
        <w:t>本次调研问卷收集时间为2025年10月1日至10月31日。经严格筛选剔除无效问卷后，最终收集有效问卷1089份。问卷内容重点围绕患者确诊病程、用药原因、服药规律性、血压控制效果、症状改善情况、不良反应、生活质量变化、饮食配合、医疗支持需求、用药反馈习惯及药物改进建议等核心维度设计，确保全面覆盖药物应用关键环节及患者核心诉求。</w:t>
      </w:r>
    </w:p>
    <w:p w14:paraId="41FBD1A3">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0" w:leftChars="0" w:firstLine="0" w:firstLineChars="0"/>
        <w:textAlignment w:val="auto"/>
        <w:outlineLvl w:val="0"/>
        <w:rPr>
          <w:rFonts w:hint="default" w:ascii="宋体" w:hAnsi="宋体" w:eastAsia="宋体" w:cs="宋体"/>
          <w:b/>
          <w:bCs/>
          <w:color w:val="75BD42" w:themeColor="accent4"/>
          <w:sz w:val="40"/>
          <w:szCs w:val="40"/>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bookmarkStart w:id="1" w:name="_Toc24888"/>
      <w:r>
        <w:rPr>
          <w:rFonts w:hint="eastAsia" w:ascii="宋体" w:hAnsi="宋体" w:eastAsia="宋体" w:cs="宋体"/>
          <w:b/>
          <w:bCs/>
          <w:color w:val="75BD42" w:themeColor="accent4"/>
          <w:sz w:val="40"/>
          <w:szCs w:val="40"/>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数据信息分析</w:t>
      </w:r>
    </w:p>
    <w:bookmarkEnd w:id="1"/>
    <w:p w14:paraId="5FEE7A4B">
      <w:pPr>
        <w:keepNext w:val="0"/>
        <w:keepLines w:val="0"/>
        <w:pageBreakBefore w:val="0"/>
        <w:widowControl w:val="0"/>
        <w:numPr>
          <w:ilvl w:val="0"/>
          <w:numId w:val="3"/>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bCs/>
          <w:sz w:val="32"/>
          <w:szCs w:val="32"/>
          <w:lang w:val="en-US" w:eastAsia="zh-CN"/>
        </w:rPr>
        <w:t>确诊</w:t>
      </w:r>
      <w:r>
        <w:rPr>
          <w:rFonts w:hint="eastAsia" w:asciiTheme="minorEastAsia" w:hAnsiTheme="minorEastAsia" w:cstheme="minorEastAsia"/>
          <w:b/>
          <w:bCs/>
          <w:sz w:val="32"/>
          <w:szCs w:val="32"/>
          <w:lang w:val="en-US" w:eastAsia="zh-CN"/>
        </w:rPr>
        <w:t>原发性</w:t>
      </w:r>
      <w:r>
        <w:rPr>
          <w:rFonts w:hint="eastAsia" w:asciiTheme="minorEastAsia" w:hAnsiTheme="minorEastAsia" w:eastAsiaTheme="minorEastAsia" w:cstheme="minorEastAsia"/>
          <w:b/>
          <w:bCs/>
          <w:sz w:val="32"/>
          <w:szCs w:val="32"/>
          <w:lang w:val="en-US" w:eastAsia="zh-CN"/>
        </w:rPr>
        <w:t>高血压时长</w:t>
      </w:r>
    </w:p>
    <w:p w14:paraId="0AC41BE3">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drawing>
          <wp:inline distT="0" distB="0" distL="114300" distR="114300">
            <wp:extent cx="5256530" cy="2366010"/>
            <wp:effectExtent l="0" t="0" r="0" b="0"/>
            <wp:docPr id="23" name="图表 23"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070B1FE">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highlight w:val="yellow"/>
          <w:lang w:val="en-US" w:eastAsia="zh-CN"/>
        </w:rPr>
      </w:pPr>
      <w:r>
        <w:rPr>
          <w:rFonts w:hint="eastAsia" w:asciiTheme="minorEastAsia" w:hAnsiTheme="minorEastAsia" w:eastAsiaTheme="minorEastAsia" w:cstheme="minorEastAsia"/>
          <w:sz w:val="28"/>
          <w:szCs w:val="28"/>
          <w:highlight w:val="none"/>
          <w:lang w:val="en-US" w:eastAsia="zh-CN"/>
        </w:rPr>
        <w:t>本次调研</w:t>
      </w:r>
      <w:r>
        <w:rPr>
          <w:rFonts w:hint="eastAsia" w:asciiTheme="minorEastAsia" w:hAnsiTheme="minorEastAsia" w:cstheme="minorEastAsia"/>
          <w:sz w:val="28"/>
          <w:szCs w:val="28"/>
          <w:highlight w:val="none"/>
          <w:lang w:val="en-US" w:eastAsia="zh-CN"/>
        </w:rPr>
        <w:t>对象中</w:t>
      </w:r>
      <w:r>
        <w:rPr>
          <w:rFonts w:hint="eastAsia" w:asciiTheme="minorEastAsia" w:hAnsiTheme="minorEastAsia" w:eastAsiaTheme="minorEastAsia" w:cstheme="minorEastAsia"/>
          <w:sz w:val="28"/>
          <w:szCs w:val="28"/>
          <w:highlight w:val="none"/>
          <w:lang w:val="en-US" w:eastAsia="zh-CN"/>
        </w:rPr>
        <w:t>，1-3 年病程患者占比最高（49%），成为调研群体的核心构成；1 年以内新确诊患者占 26%，3 年以上长期患病患者占 25%。这一分布反映出调研样本覆盖了疾病不同进展阶段的患者，既包含初发疾病、治疗方案尚在优化期的群体，也涵盖了病程稳定、用药经验丰富的长期患者。不同病程患者在用药需求、治疗目标和健康管理认知上存在差异，该分布特征为全面评估厄贝沙坦氢氯噻嗪片在不同疾病阶段的应用效果提供了多样化的数据支撑。</w:t>
      </w:r>
    </w:p>
    <w:p w14:paraId="52B6A085">
      <w:pPr>
        <w:keepNext w:val="0"/>
        <w:keepLines w:val="0"/>
        <w:pageBreakBefore w:val="0"/>
        <w:widowControl w:val="0"/>
        <w:numPr>
          <w:ilvl w:val="0"/>
          <w:numId w:val="3"/>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用药原因</w:t>
      </w:r>
    </w:p>
    <w:p w14:paraId="40DB1643">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sz w:val="28"/>
          <w:szCs w:val="28"/>
          <w:lang w:eastAsia="zh-CN"/>
        </w:rPr>
        <w:drawing>
          <wp:inline distT="0" distB="0" distL="114300" distR="114300">
            <wp:extent cx="5281295" cy="2475865"/>
            <wp:effectExtent l="0" t="0" r="0" b="0"/>
            <wp:docPr id="25" name="图表 25"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9841296">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患者起始使用厄贝沙坦氢氯噻嗪片的原因中，医生首次诊断推荐占比最高（46%），体现了临床诊疗中医生对该药物的认可，以及患者对专业医疗建议的高度依从性。36% 的患者因既往用药效果不佳而经医生调整为该药物，说明其具有重要的临床价值，是解决降压效果不佳问题的重要选择。亲友推荐后经医生评估同意的患者占 18%，反映出患者间的用药体验传播对药物选择存在一定影响，但最终决策仍以医生专业评估为核心，未出现盲目用药的情况。</w:t>
      </w:r>
    </w:p>
    <w:p w14:paraId="546F277E">
      <w:pPr>
        <w:keepNext w:val="0"/>
        <w:keepLines w:val="0"/>
        <w:pageBreakBefore w:val="0"/>
        <w:widowControl w:val="0"/>
        <w:numPr>
          <w:ilvl w:val="0"/>
          <w:numId w:val="3"/>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服药规律性</w:t>
      </w:r>
    </w:p>
    <w:p w14:paraId="21FA6617">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sz w:val="28"/>
          <w:szCs w:val="28"/>
          <w:lang w:eastAsia="zh-CN"/>
        </w:rPr>
        <w:drawing>
          <wp:inline distT="0" distB="0" distL="114300" distR="114300">
            <wp:extent cx="5362575" cy="2696845"/>
            <wp:effectExtent l="0" t="0" r="0" b="0"/>
            <wp:docPr id="28" name="图表 28"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686C523">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cstheme="minorEastAsia"/>
          <w:sz w:val="28"/>
          <w:szCs w:val="28"/>
          <w:lang w:val="en-US" w:eastAsia="zh-CN"/>
        </w:rPr>
        <w:t>用药依从性方面，61% 的患者能完全规律服用厄贝沙坦氢氯噻嗪片，未出现擅自停药或漏服情况，这为药物发挥稳定降压效果提供了重要保障，也反映出患者对高血压疾病治疗重要性的认知较为充分。20% 的患者存在偶尔漏服（每周≤1 次），19% 的患者经常漏服（每周 2-3 次），合计 39% 的患者存在不同程度的用药不规律问题。漏服行为可能与患者用药习惯、忘记服药提醒机制缺失或对长期用药的重视程度不足有关。部分患者的不规律用药情况提示，后续需加强用药指导，通过设置服药提醒、强化疾病教育等方式提升整体依从性，避免因漏服导致血压波动</w:t>
      </w:r>
      <w:r>
        <w:rPr>
          <w:rFonts w:hint="eastAsia" w:asciiTheme="minorEastAsia" w:hAnsiTheme="minorEastAsia" w:eastAsiaTheme="minorEastAsia" w:cstheme="minorEastAsia"/>
          <w:sz w:val="28"/>
          <w:szCs w:val="28"/>
          <w:lang w:val="en-US" w:eastAsia="zh-CN"/>
        </w:rPr>
        <w:t>。</w:t>
      </w:r>
      <w:bookmarkStart w:id="2" w:name="_Toc22040"/>
    </w:p>
    <w:bookmarkEnd w:id="2"/>
    <w:p w14:paraId="25547EE4">
      <w:pPr>
        <w:keepNext w:val="0"/>
        <w:keepLines w:val="0"/>
        <w:pageBreakBefore w:val="0"/>
        <w:widowControl w:val="0"/>
        <w:numPr>
          <w:ilvl w:val="0"/>
          <w:numId w:val="3"/>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血压控制效果</w:t>
      </w:r>
    </w:p>
    <w:p w14:paraId="0119785D">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sz w:val="28"/>
          <w:szCs w:val="28"/>
          <w:lang w:eastAsia="zh-CN"/>
        </w:rPr>
        <w:drawing>
          <wp:inline distT="0" distB="0" distL="114300" distR="114300">
            <wp:extent cx="5321935" cy="2628900"/>
            <wp:effectExtent l="0" t="0" r="0" b="0"/>
            <wp:docPr id="50" name="图表 50"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2AF212E">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cstheme="minorEastAsia"/>
          <w:sz w:val="28"/>
          <w:szCs w:val="28"/>
          <w:lang w:val="en-US" w:eastAsia="zh-CN"/>
        </w:rPr>
        <w:t>血压控制效果方面，48% 的患者反馈控制良好，47% 的患者表示基本控制，两者合计占比 95%，仅 5% 的患者认为控制不佳。数据充分证明厄贝沙坦氢氯噻嗪片在当地原发性高血压患者中的治疗有效性，绝大多数患者能通过该药物实现血压的有效管理。其中，“基本控制” 群体占比接近 “控制良好” 群体，提示部分患者的血压控制仍有优化空间，可能与用药剂量、联合治疗方案或生活方式干预不到位有关。仅 5% 的控制不佳患者，可能存在个体差异、合并其他基础疾病或用药依从性不足等问题，需医生针对性调整治疗方案，以提升整体血压控制达标率</w:t>
      </w:r>
      <w:r>
        <w:rPr>
          <w:rFonts w:hint="eastAsia" w:asciiTheme="minorEastAsia" w:hAnsiTheme="minorEastAsia" w:eastAsiaTheme="minorEastAsia" w:cstheme="minorEastAsia"/>
          <w:sz w:val="28"/>
          <w:szCs w:val="28"/>
        </w:rPr>
        <w:t>。</w:t>
      </w:r>
    </w:p>
    <w:p w14:paraId="678F2B63">
      <w:pPr>
        <w:keepNext w:val="0"/>
        <w:keepLines w:val="0"/>
        <w:pageBreakBefore w:val="0"/>
        <w:widowControl w:val="0"/>
        <w:numPr>
          <w:ilvl w:val="0"/>
          <w:numId w:val="3"/>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服药后</w:t>
      </w:r>
      <w:r>
        <w:rPr>
          <w:rFonts w:hint="eastAsia" w:asciiTheme="minorEastAsia" w:hAnsiTheme="minorEastAsia" w:cstheme="minorEastAsia"/>
          <w:b/>
          <w:bCs/>
          <w:sz w:val="32"/>
          <w:szCs w:val="32"/>
          <w:lang w:val="en-US" w:eastAsia="zh-CN"/>
        </w:rPr>
        <w:t>相关</w:t>
      </w:r>
      <w:r>
        <w:rPr>
          <w:rFonts w:hint="eastAsia" w:asciiTheme="minorEastAsia" w:hAnsiTheme="minorEastAsia" w:eastAsiaTheme="minorEastAsia" w:cstheme="minorEastAsia"/>
          <w:b/>
          <w:bCs/>
          <w:sz w:val="32"/>
          <w:szCs w:val="32"/>
          <w:lang w:val="en-US" w:eastAsia="zh-CN"/>
        </w:rPr>
        <w:t>症状变化</w:t>
      </w:r>
    </w:p>
    <w:p w14:paraId="442E27F3">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heme="minorEastAsia" w:hAnsiTheme="minorEastAsia" w:eastAsiaTheme="minorEastAsia" w:cstheme="minorEastAsia"/>
          <w:b/>
          <w:bCs/>
          <w:sz w:val="30"/>
          <w:szCs w:val="30"/>
        </w:rPr>
      </w:pPr>
      <w:r>
        <w:rPr>
          <w:rFonts w:hint="eastAsia" w:asciiTheme="minorEastAsia" w:hAnsiTheme="minorEastAsia" w:eastAsiaTheme="minorEastAsia" w:cstheme="minorEastAsia"/>
          <w:sz w:val="28"/>
          <w:szCs w:val="28"/>
          <w:lang w:eastAsia="zh-CN"/>
        </w:rPr>
        <w:drawing>
          <wp:inline distT="0" distB="0" distL="114300" distR="114300">
            <wp:extent cx="5287645" cy="2620645"/>
            <wp:effectExtent l="0" t="0" r="0" b="0"/>
            <wp:docPr id="53" name="图表 53"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803BDDA">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服用厄贝沙坦氢氯噻嗪片后，5</w:t>
      </w:r>
      <w:r>
        <w:rPr>
          <w:rFonts w:hint="eastAsia" w:asciiTheme="minorEastAsia" w:hAnsiTheme="minorEastAsia" w:cstheme="minorEastAsia"/>
          <w:sz w:val="28"/>
          <w:szCs w:val="28"/>
          <w:lang w:val="en-US" w:eastAsia="zh-CN"/>
        </w:rPr>
        <w:t>2</w:t>
      </w:r>
      <w:r>
        <w:rPr>
          <w:rFonts w:hint="eastAsia" w:asciiTheme="minorEastAsia" w:hAnsiTheme="minorEastAsia" w:eastAsiaTheme="minorEastAsia" w:cstheme="minorEastAsia"/>
          <w:sz w:val="28"/>
          <w:szCs w:val="28"/>
        </w:rPr>
        <w:t>% 的患者头晕、头痛等相关症状明显减轻，4</w:t>
      </w:r>
      <w:r>
        <w:rPr>
          <w:rFonts w:hint="eastAsia" w:asciiTheme="minorEastAsia" w:hAnsiTheme="minorEastAsia" w:cstheme="minorEastAsia"/>
          <w:sz w:val="28"/>
          <w:szCs w:val="28"/>
          <w:lang w:val="en-US" w:eastAsia="zh-CN"/>
        </w:rPr>
        <w:t>1</w:t>
      </w:r>
      <w:r>
        <w:rPr>
          <w:rFonts w:hint="eastAsia" w:asciiTheme="minorEastAsia" w:hAnsiTheme="minorEastAsia" w:eastAsiaTheme="minorEastAsia" w:cstheme="minorEastAsia"/>
          <w:sz w:val="28"/>
          <w:szCs w:val="28"/>
        </w:rPr>
        <w:t>% 的患者症状略有缓解，两者合计 9</w:t>
      </w:r>
      <w:r>
        <w:rPr>
          <w:rFonts w:hint="eastAsia" w:asciiTheme="minorEastAsia" w:hAnsiTheme="minorEastAsia" w:cstheme="minorEastAsia"/>
          <w:sz w:val="28"/>
          <w:szCs w:val="28"/>
          <w:lang w:val="en-US" w:eastAsia="zh-CN"/>
        </w:rPr>
        <w:t>3</w:t>
      </w:r>
      <w:r>
        <w:rPr>
          <w:rFonts w:hint="eastAsia" w:asciiTheme="minorEastAsia" w:hAnsiTheme="minorEastAsia" w:eastAsiaTheme="minorEastAsia" w:cstheme="minorEastAsia"/>
          <w:sz w:val="28"/>
          <w:szCs w:val="28"/>
        </w:rPr>
        <w:t xml:space="preserve">%，仅 </w:t>
      </w:r>
      <w:r>
        <w:rPr>
          <w:rFonts w:hint="eastAsia" w:asciiTheme="minorEastAsia" w:hAnsiTheme="minorEastAsia" w:cstheme="minorEastAsia"/>
          <w:sz w:val="28"/>
          <w:szCs w:val="28"/>
          <w:lang w:val="en-US" w:eastAsia="zh-CN"/>
        </w:rPr>
        <w:t>7</w:t>
      </w:r>
      <w:r>
        <w:rPr>
          <w:rFonts w:hint="eastAsia" w:asciiTheme="minorEastAsia" w:hAnsiTheme="minorEastAsia" w:eastAsiaTheme="minorEastAsia" w:cstheme="minorEastAsia"/>
          <w:sz w:val="28"/>
          <w:szCs w:val="28"/>
        </w:rPr>
        <w:t>% 的患者表示未出现此类症状。这一结果与血压控制效果高度契合，表明药物在降低血压的同时，能有效改善高血压患者的核心不适症状，提升患者的身体舒适度。未出现相关症状的患者，可能本身症状不明显或病情较轻，药物的干预进一步维持了其身体的舒适状态。整体来看，该药物在改善患者临床症状、提升生活质量方面发挥了重要作用。</w:t>
      </w:r>
    </w:p>
    <w:p w14:paraId="17F6D5A4">
      <w:pPr>
        <w:keepNext w:val="0"/>
        <w:keepLines w:val="0"/>
        <w:pageBreakBefore w:val="0"/>
        <w:widowControl w:val="0"/>
        <w:numPr>
          <w:ilvl w:val="0"/>
          <w:numId w:val="3"/>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不适反应</w:t>
      </w:r>
      <w:r>
        <w:rPr>
          <w:rFonts w:hint="eastAsia" w:asciiTheme="minorEastAsia" w:hAnsiTheme="minorEastAsia" w:cstheme="minorEastAsia"/>
          <w:b/>
          <w:bCs/>
          <w:sz w:val="32"/>
          <w:szCs w:val="32"/>
          <w:lang w:val="en-US" w:eastAsia="zh-CN"/>
        </w:rPr>
        <w:t>情况</w:t>
      </w:r>
    </w:p>
    <w:p w14:paraId="58518120">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Theme="minorEastAsia" w:hAnsiTheme="minorEastAsia" w:eastAsiaTheme="minorEastAsia" w:cstheme="minorEastAsia"/>
          <w:b/>
          <w:bCs/>
          <w:sz w:val="30"/>
          <w:szCs w:val="30"/>
        </w:rPr>
      </w:pPr>
      <w:r>
        <w:rPr>
          <w:rFonts w:hint="eastAsia" w:asciiTheme="minorEastAsia" w:hAnsiTheme="minorEastAsia" w:eastAsiaTheme="minorEastAsia" w:cstheme="minorEastAsia"/>
          <w:sz w:val="28"/>
          <w:szCs w:val="28"/>
          <w:lang w:eastAsia="zh-CN"/>
        </w:rPr>
        <w:drawing>
          <wp:inline distT="0" distB="0" distL="114300" distR="114300">
            <wp:extent cx="5316220" cy="2512060"/>
            <wp:effectExtent l="0" t="0" r="0" b="0"/>
            <wp:docPr id="55" name="图表 55"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C6316E4">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cstheme="minorEastAsia"/>
          <w:sz w:val="28"/>
          <w:szCs w:val="28"/>
          <w:lang w:val="en-US" w:eastAsia="zh-CN"/>
        </w:rPr>
        <w:t>安全性方面，78% 的患者在服用厄贝沙坦氢氯噻嗪片期间未出现任何明显不适，15% 的患者出现常见排尿异常，7% 的患者出现恶心、呕吐症状，不良反应总体发生率较低（22%），且以轻度不良反应为主。这一数据表明该药物在患者中的耐受性良好，绝大多数患者可安全用药。较低的不良反应发生率有助于提升患者用药依从性，减少因不适导致的擅自停药行为，为长期治疗提供了安全保障，也体现了该药物在临床应用中的风险可控性</w:t>
      </w:r>
      <w:r>
        <w:rPr>
          <w:rFonts w:hint="eastAsia" w:asciiTheme="minorEastAsia" w:hAnsiTheme="minorEastAsia" w:eastAsiaTheme="minorEastAsia" w:cstheme="minorEastAsia"/>
          <w:sz w:val="28"/>
          <w:szCs w:val="28"/>
        </w:rPr>
        <w:t>。</w:t>
      </w:r>
    </w:p>
    <w:p w14:paraId="2CDCC6D3">
      <w:pPr>
        <w:keepNext w:val="0"/>
        <w:keepLines w:val="0"/>
        <w:pageBreakBefore w:val="0"/>
        <w:widowControl w:val="0"/>
        <w:numPr>
          <w:ilvl w:val="0"/>
          <w:numId w:val="4"/>
        </w:numPr>
        <w:kinsoku/>
        <w:wordWrap/>
        <w:overflowPunct/>
        <w:topLinePunct w:val="0"/>
        <w:autoSpaceDE/>
        <w:autoSpaceDN/>
        <w:bidi w:val="0"/>
        <w:adjustRightInd/>
        <w:snapToGrid/>
        <w:spacing w:before="157" w:beforeLines="50" w:line="360" w:lineRule="auto"/>
        <w:ind w:left="0" w:leftChars="0" w:firstLine="0" w:firstLineChars="0"/>
        <w:jc w:val="left"/>
        <w:textAlignment w:val="auto"/>
        <w:outlineLvl w:val="1"/>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bCs/>
          <w:sz w:val="32"/>
          <w:szCs w:val="32"/>
          <w:lang w:val="en-US" w:eastAsia="zh-CN"/>
        </w:rPr>
        <w:t>生活质量变</w:t>
      </w:r>
      <w:r>
        <w:rPr>
          <w:rFonts w:hint="eastAsia" w:asciiTheme="minorEastAsia" w:hAnsiTheme="minorEastAsia" w:cstheme="minorEastAsia"/>
          <w:b/>
          <w:bCs/>
          <w:sz w:val="32"/>
          <w:szCs w:val="32"/>
          <w:lang w:val="en-US" w:eastAsia="zh-CN"/>
        </w:rPr>
        <w:t>化</w:t>
      </w:r>
      <w:r>
        <w:rPr>
          <w:rFonts w:hint="eastAsia" w:asciiTheme="minorEastAsia" w:hAnsiTheme="minorEastAsia" w:eastAsiaTheme="minorEastAsia" w:cstheme="minorEastAsia"/>
          <w:sz w:val="28"/>
          <w:szCs w:val="28"/>
          <w:lang w:eastAsia="zh-CN"/>
        </w:rPr>
        <w:drawing>
          <wp:inline distT="0" distB="0" distL="114300" distR="114300">
            <wp:extent cx="5311140" cy="2547620"/>
            <wp:effectExtent l="0" t="0" r="0" b="0"/>
            <wp:docPr id="56" name="图表 56"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68D3E7B">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cstheme="minorEastAsia"/>
          <w:sz w:val="28"/>
          <w:szCs w:val="28"/>
          <w:lang w:eastAsia="zh-CN"/>
        </w:rPr>
      </w:pPr>
      <w:r>
        <w:rPr>
          <w:rFonts w:hint="eastAsia" w:asciiTheme="minorEastAsia" w:hAnsiTheme="minorEastAsia" w:eastAsiaTheme="minorEastAsia" w:cstheme="minorEastAsia"/>
          <w:sz w:val="28"/>
          <w:szCs w:val="28"/>
        </w:rPr>
        <w:t>生活质量改善方面，</w:t>
      </w:r>
      <w:r>
        <w:rPr>
          <w:rFonts w:hint="eastAsia" w:asciiTheme="minorEastAsia" w:hAnsiTheme="minorEastAsia" w:cstheme="minorEastAsia"/>
          <w:sz w:val="28"/>
          <w:szCs w:val="28"/>
          <w:lang w:val="en-US" w:eastAsia="zh-CN"/>
        </w:rPr>
        <w:t>54</w:t>
      </w:r>
      <w:r>
        <w:rPr>
          <w:rFonts w:hint="eastAsia" w:asciiTheme="minorEastAsia" w:hAnsiTheme="minorEastAsia" w:eastAsiaTheme="minorEastAsia" w:cstheme="minorEastAsia"/>
          <w:sz w:val="28"/>
          <w:szCs w:val="28"/>
        </w:rPr>
        <w:t>% 的患者反馈血压控制后整体生活质量明显提高，能更好地进行各类活动；</w:t>
      </w:r>
      <w:r>
        <w:rPr>
          <w:rFonts w:hint="eastAsia" w:asciiTheme="minorEastAsia" w:hAnsiTheme="minorEastAsia" w:cstheme="minorEastAsia"/>
          <w:sz w:val="28"/>
          <w:szCs w:val="28"/>
          <w:lang w:val="en-US" w:eastAsia="zh-CN"/>
        </w:rPr>
        <w:t>29</w:t>
      </w:r>
      <w:r>
        <w:rPr>
          <w:rFonts w:hint="eastAsia" w:asciiTheme="minorEastAsia" w:hAnsiTheme="minorEastAsia" w:eastAsiaTheme="minorEastAsia" w:cstheme="minorEastAsia"/>
          <w:sz w:val="28"/>
          <w:szCs w:val="28"/>
        </w:rPr>
        <w:t>% 的患者表示有一定提高，日常生活基本不受影响；仅 1</w:t>
      </w:r>
      <w:r>
        <w:rPr>
          <w:rFonts w:hint="eastAsia" w:asciiTheme="minorEastAsia" w:hAnsiTheme="minorEastAsia" w:cstheme="minorEastAsia"/>
          <w:sz w:val="28"/>
          <w:szCs w:val="28"/>
          <w:lang w:val="en-US" w:eastAsia="zh-CN"/>
        </w:rPr>
        <w:t>7</w:t>
      </w:r>
      <w:r>
        <w:rPr>
          <w:rFonts w:hint="eastAsia" w:asciiTheme="minorEastAsia" w:hAnsiTheme="minorEastAsia" w:eastAsiaTheme="minorEastAsia" w:cstheme="minorEastAsia"/>
          <w:sz w:val="28"/>
          <w:szCs w:val="28"/>
        </w:rPr>
        <w:t>% 的患者认为影响不大。这一分布充分体现了厄贝沙坦氢氯噻嗪片通过有效控制血压，对患者生活质量产生的积极影响。超过半数患者的生活质量得到明显提升，说明药物不仅实现了 “降压” 的医学目标，更帮助患者恢复了正常的活动能力，提升了健康获得感；近三成患者的日常生活不受影响，进一步验证了药物对患者生活状态的正向改善作用。认为影响不大的患者，可能与该群体病程较长、基础健康状况较差或对生活质量的预期较高有关，提示后续需结合多维度干预措施，进一步提升这部分患者的健康体验</w:t>
      </w:r>
      <w:r>
        <w:rPr>
          <w:rFonts w:hint="eastAsia" w:asciiTheme="minorEastAsia" w:hAnsiTheme="minorEastAsia" w:cstheme="minorEastAsia"/>
          <w:sz w:val="28"/>
          <w:szCs w:val="28"/>
          <w:lang w:eastAsia="zh-CN"/>
        </w:rPr>
        <w:t>。</w:t>
      </w:r>
    </w:p>
    <w:p w14:paraId="439F55EF">
      <w:pPr>
        <w:keepNext w:val="0"/>
        <w:keepLines w:val="0"/>
        <w:pageBreakBefore w:val="0"/>
        <w:widowControl w:val="0"/>
        <w:numPr>
          <w:ilvl w:val="0"/>
          <w:numId w:val="5"/>
        </w:numPr>
        <w:kinsoku/>
        <w:wordWrap/>
        <w:overflowPunct/>
        <w:topLinePunct w:val="0"/>
        <w:autoSpaceDE/>
        <w:autoSpaceDN/>
        <w:bidi w:val="0"/>
        <w:adjustRightInd/>
        <w:snapToGrid/>
        <w:spacing w:before="157" w:beforeLines="50" w:line="360" w:lineRule="auto"/>
        <w:ind w:left="0" w:leftChars="0" w:firstLine="0" w:firstLineChars="0"/>
        <w:textAlignment w:val="auto"/>
        <w:outlineLvl w:val="1"/>
        <w:rPr>
          <w:rFonts w:hint="eastAsia" w:asciiTheme="minorEastAsia" w:hAnsiTheme="minorEastAsia" w:eastAsiaTheme="minorEastAsia" w:cstheme="minorEastAsia"/>
          <w:b/>
          <w:bCs/>
          <w:sz w:val="30"/>
          <w:szCs w:val="30"/>
        </w:rPr>
      </w:pPr>
      <w:r>
        <w:rPr>
          <w:rFonts w:hint="eastAsia" w:asciiTheme="minorEastAsia" w:hAnsiTheme="minorEastAsia" w:eastAsiaTheme="minorEastAsia" w:cstheme="minorEastAsia"/>
          <w:b/>
          <w:bCs/>
          <w:sz w:val="32"/>
          <w:szCs w:val="32"/>
          <w:lang w:val="en-US" w:eastAsia="zh-CN"/>
        </w:rPr>
        <w:t>饮食配合情况</w:t>
      </w:r>
      <w:r>
        <w:rPr>
          <w:rFonts w:hint="eastAsia" w:asciiTheme="minorEastAsia" w:hAnsiTheme="minorEastAsia" w:eastAsiaTheme="minorEastAsia" w:cstheme="minorEastAsia"/>
          <w:b/>
          <w:bCs/>
          <w:sz w:val="30"/>
          <w:szCs w:val="30"/>
        </w:rPr>
        <w:br w:type="textWrapping"/>
      </w:r>
      <w:r>
        <w:rPr>
          <w:rFonts w:hint="eastAsia" w:asciiTheme="minorEastAsia" w:hAnsiTheme="minorEastAsia" w:eastAsiaTheme="minorEastAsia" w:cstheme="minorEastAsia"/>
          <w:sz w:val="28"/>
          <w:szCs w:val="28"/>
          <w:lang w:eastAsia="zh-CN"/>
        </w:rPr>
        <w:drawing>
          <wp:inline distT="0" distB="0" distL="114300" distR="114300">
            <wp:extent cx="5276850" cy="2484120"/>
            <wp:effectExtent l="0" t="0" r="0" b="0"/>
            <wp:docPr id="59" name="图表 59"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14898A4">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饮食配合方面，73% 的患者能严格遵循低盐饮食，14% 的患者大部分时间能做到低盐，13% 的患者偶尔注意但难以坚持。这一数据表明高血压患者对饮食干预的重视程度较高，绝大多数患者能将 “限盐” 这一高血压管理的关键措施落到实处。难以坚持低盐饮食的患者，可能与地域饮食习惯、口味偏好等因素相关。饮食控制是高血压治疗的重要组成部分，与药物治疗协同发挥作用，较高的饮食配合度为厄贝沙坦氢氯噻嗪片的降压效果提供了有力支持，也为患者的长期健康管理奠定了基础。</w:t>
      </w:r>
    </w:p>
    <w:p w14:paraId="7BA74BC9">
      <w:pPr>
        <w:keepNext w:val="0"/>
        <w:keepLines w:val="0"/>
        <w:pageBreakBefore w:val="0"/>
        <w:widowControl w:val="0"/>
        <w:numPr>
          <w:ilvl w:val="0"/>
          <w:numId w:val="6"/>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医生支持需求</w:t>
      </w:r>
    </w:p>
    <w:p w14:paraId="0573161C">
      <w:pPr>
        <w:keepNext w:val="0"/>
        <w:keepLines w:val="0"/>
        <w:pageBreakBefore w:val="0"/>
        <w:widowControl w:val="0"/>
        <w:kinsoku/>
        <w:wordWrap/>
        <w:overflowPunct/>
        <w:topLinePunct w:val="0"/>
        <w:autoSpaceDE/>
        <w:autoSpaceDN/>
        <w:bidi w:val="0"/>
        <w:adjustRightInd/>
        <w:snapToGrid/>
        <w:spacing w:before="157" w:beforeLines="50"/>
        <w:textAlignment w:val="auto"/>
        <w:rPr>
          <w:rFonts w:hint="eastAsia" w:asciiTheme="minorEastAsia" w:hAnsiTheme="minorEastAsia" w:eastAsiaTheme="minorEastAsia" w:cstheme="minorEastAsia"/>
          <w:b/>
          <w:bCs/>
          <w:sz w:val="30"/>
          <w:szCs w:val="30"/>
        </w:rPr>
      </w:pPr>
      <w:r>
        <w:rPr>
          <w:rFonts w:hint="eastAsia" w:asciiTheme="minorEastAsia" w:hAnsiTheme="minorEastAsia" w:eastAsiaTheme="minorEastAsia" w:cstheme="minorEastAsia"/>
          <w:sz w:val="28"/>
          <w:szCs w:val="28"/>
          <w:lang w:eastAsia="zh-CN"/>
        </w:rPr>
        <w:drawing>
          <wp:inline distT="0" distB="0" distL="114300" distR="114300">
            <wp:extent cx="5362575" cy="2457450"/>
            <wp:effectExtent l="0" t="0" r="0" b="0"/>
            <wp:docPr id="61" name="图表 61"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601DFEA">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cstheme="minorEastAsia"/>
          <w:sz w:val="28"/>
          <w:szCs w:val="28"/>
          <w:lang w:val="en-US" w:eastAsia="zh-CN"/>
        </w:rPr>
        <w:t>患者在用药期间最希望获得的医生支持中，61% 的患者选择用药剂量调整建议；22% 的患者希望获得副作用应对方法；17% 的患者需要定期血压监测指导。这一需求分布反映出患者在治疗过程中，核心关注点集中在用药方案的个性化优化上，多数患者希望医生根据自身血压变化和身体状况，提供精准的剂量调整建议，以实现更理想的降压效果。对副作用应对方法的需求，体现了患者对用药安全性的重视；而血压监测指导的需求占比相对较低，可能与患者已掌握基础监测方法或社区医疗提供相关服务有关</w:t>
      </w:r>
      <w:r>
        <w:rPr>
          <w:rFonts w:hint="eastAsia" w:asciiTheme="minorEastAsia" w:hAnsiTheme="minorEastAsia" w:eastAsiaTheme="minorEastAsia" w:cstheme="minorEastAsia"/>
          <w:sz w:val="28"/>
          <w:szCs w:val="28"/>
        </w:rPr>
        <w:t>。</w:t>
      </w:r>
    </w:p>
    <w:p w14:paraId="1444314A">
      <w:pPr>
        <w:keepNext w:val="0"/>
        <w:keepLines w:val="0"/>
        <w:pageBreakBefore w:val="0"/>
        <w:widowControl w:val="0"/>
        <w:numPr>
          <w:ilvl w:val="0"/>
          <w:numId w:val="7"/>
        </w:numPr>
        <w:kinsoku/>
        <w:wordWrap/>
        <w:overflowPunct/>
        <w:topLinePunct w:val="0"/>
        <w:autoSpaceDE/>
        <w:autoSpaceDN/>
        <w:bidi w:val="0"/>
        <w:adjustRightInd/>
        <w:snapToGrid/>
        <w:spacing w:before="157" w:beforeLines="50" w:line="360" w:lineRule="auto"/>
        <w:ind w:left="0" w:leftChars="0" w:firstLine="0" w:firstLineChars="0"/>
        <w:textAlignment w:val="auto"/>
        <w:outlineLvl w:val="1"/>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bCs/>
          <w:sz w:val="32"/>
          <w:szCs w:val="32"/>
          <w:lang w:val="en-US" w:eastAsia="zh-CN"/>
        </w:rPr>
        <w:t>用药反馈习惯</w:t>
      </w:r>
      <w:r>
        <w:rPr>
          <w:rFonts w:hint="eastAsia" w:asciiTheme="minorEastAsia" w:hAnsiTheme="minorEastAsia" w:eastAsiaTheme="minorEastAsia" w:cstheme="minorEastAsia"/>
          <w:b/>
          <w:bCs/>
          <w:sz w:val="30"/>
          <w:szCs w:val="30"/>
        </w:rPr>
        <w:br w:type="textWrapping"/>
      </w:r>
      <w:r>
        <w:rPr>
          <w:rFonts w:hint="eastAsia" w:asciiTheme="minorEastAsia" w:hAnsiTheme="minorEastAsia" w:eastAsiaTheme="minorEastAsia" w:cstheme="minorEastAsia"/>
          <w:sz w:val="28"/>
          <w:szCs w:val="28"/>
          <w:lang w:eastAsia="zh-CN"/>
        </w:rPr>
        <w:drawing>
          <wp:inline distT="0" distB="0" distL="114300" distR="114300">
            <wp:extent cx="5362575" cy="2438400"/>
            <wp:effectExtent l="0" t="0" r="0" b="0"/>
            <wp:docPr id="63" name="图表 63"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D5B6363">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rPr>
        <w:t>用药反馈</w:t>
      </w:r>
      <w:r>
        <w:rPr>
          <w:rFonts w:hint="eastAsia" w:asciiTheme="minorEastAsia" w:hAnsiTheme="minorEastAsia" w:cstheme="minorEastAsia"/>
          <w:sz w:val="28"/>
          <w:szCs w:val="28"/>
          <w:lang w:val="en-US" w:eastAsia="zh-CN"/>
        </w:rPr>
        <w:t>习惯</w:t>
      </w:r>
      <w:r>
        <w:rPr>
          <w:rFonts w:hint="eastAsia" w:asciiTheme="minorEastAsia" w:hAnsiTheme="minorEastAsia" w:eastAsiaTheme="minorEastAsia" w:cstheme="minorEastAsia"/>
          <w:sz w:val="28"/>
          <w:szCs w:val="28"/>
        </w:rPr>
        <w:t>方面，48% 的患者每次复诊都会详细反馈用药感受，27% 的患者在有明显不适或疗效不佳时会反馈，25% 的患者仅在医生询问时才会反馈。超过七成患者存在主动反馈意识，其中近半数患者能做到全面、定期反馈，体现了患者对治疗过程的积极参与态度，有助于医生及时掌握药物疗效和不良反应情况，为调整治疗方案提供依据。被动反馈的患者，可能与患者缺乏主动沟通意识、对反馈的重要性认知不足或担心麻烦有关。后续需加强患者教育，提升主动反馈意识，促进更高效的医患协作</w:t>
      </w:r>
      <w:r>
        <w:rPr>
          <w:rFonts w:hint="eastAsia" w:asciiTheme="minorEastAsia" w:hAnsiTheme="minorEastAsia" w:cstheme="minorEastAsia"/>
          <w:sz w:val="28"/>
          <w:szCs w:val="28"/>
          <w:lang w:eastAsia="zh-CN"/>
        </w:rPr>
        <w:t>。</w:t>
      </w:r>
    </w:p>
    <w:p w14:paraId="6358A76B">
      <w:pPr>
        <w:keepNext w:val="0"/>
        <w:keepLines w:val="0"/>
        <w:pageBreakBefore w:val="0"/>
        <w:widowControl w:val="0"/>
        <w:numPr>
          <w:ilvl w:val="0"/>
          <w:numId w:val="7"/>
        </w:numPr>
        <w:kinsoku/>
        <w:wordWrap/>
        <w:overflowPunct/>
        <w:topLinePunct w:val="0"/>
        <w:autoSpaceDE/>
        <w:autoSpaceDN/>
        <w:bidi w:val="0"/>
        <w:adjustRightInd/>
        <w:snapToGrid/>
        <w:spacing w:before="157" w:beforeLines="50" w:line="360" w:lineRule="auto"/>
        <w:ind w:left="0" w:leftChars="0" w:firstLine="0" w:firstLineChars="0"/>
        <w:textAlignment w:val="auto"/>
        <w:outlineLvl w:val="1"/>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bCs/>
          <w:sz w:val="32"/>
          <w:szCs w:val="32"/>
          <w:lang w:val="en-US" w:eastAsia="zh-CN"/>
        </w:rPr>
        <w:t>药物改进建议</w:t>
      </w:r>
      <w:r>
        <w:rPr>
          <w:rFonts w:hint="eastAsia" w:asciiTheme="minorEastAsia" w:hAnsiTheme="minorEastAsia" w:eastAsiaTheme="minorEastAsia" w:cstheme="minorEastAsia"/>
          <w:b/>
          <w:bCs/>
          <w:sz w:val="30"/>
          <w:szCs w:val="30"/>
        </w:rPr>
        <w:br w:type="textWrapping"/>
      </w:r>
      <w:r>
        <w:rPr>
          <w:rFonts w:hint="eastAsia" w:asciiTheme="minorEastAsia" w:hAnsiTheme="minorEastAsia" w:eastAsiaTheme="minorEastAsia" w:cstheme="minorEastAsia"/>
          <w:sz w:val="28"/>
          <w:szCs w:val="28"/>
          <w:lang w:eastAsia="zh-CN"/>
        </w:rPr>
        <w:drawing>
          <wp:inline distT="0" distB="0" distL="114300" distR="114300">
            <wp:extent cx="5362575" cy="2480310"/>
            <wp:effectExtent l="0" t="0" r="0" b="0"/>
            <wp:docPr id="2" name="图表 2" descr="7b0a202020202263686172745265734964223a202232303437363431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2267C05">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患者认为药物最需要改进的方面呈现相对均衡的三分分布：36% 的患者希望进一步提高降压效果和稳定性，34% 的患者建议降低药品价格，30% 的患者期望提供更多剂型选择。这一结果反映出患者对药物的改进需求具有多元化特征。为药物研发企业和相关部门提供了明确的改进方向，需兼顾疗效优化、价格调控和剂型创新，以更好满足患者的多样化需求。</w:t>
      </w:r>
    </w:p>
    <w:p w14:paraId="046C59E4">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br w:type="page"/>
      </w:r>
    </w:p>
    <w:p w14:paraId="2AE0CE46">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0" w:leftChars="0" w:firstLine="0" w:firstLineChars="0"/>
        <w:textAlignment w:val="auto"/>
        <w:outlineLvl w:val="0"/>
        <w:rPr>
          <w:rFonts w:hint="eastAsia" w:asciiTheme="minorEastAsia" w:hAnsiTheme="minorEastAsia" w:eastAsiaTheme="minorEastAsia" w:cstheme="minorEastAsia"/>
          <w:sz w:val="28"/>
          <w:szCs w:val="28"/>
        </w:rPr>
      </w:pPr>
      <w:r>
        <w:rPr>
          <w:rFonts w:hint="eastAsia" w:ascii="宋体" w:hAnsi="宋体" w:eastAsia="宋体" w:cs="宋体"/>
          <w:b/>
          <w:bCs/>
          <w:color w:val="75BD42" w:themeColor="accent4"/>
          <w:sz w:val="40"/>
          <w:szCs w:val="40"/>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反馈意见分析</w:t>
      </w:r>
    </w:p>
    <w:p w14:paraId="7204197F">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lang w:val="en-US" w:eastAsia="zh-CN"/>
        </w:rPr>
      </w:pPr>
      <w:bookmarkStart w:id="3" w:name="_Toc1964"/>
      <w:r>
        <w:rPr>
          <w:rFonts w:hint="eastAsia" w:asciiTheme="minorEastAsia" w:hAnsiTheme="minorEastAsia" w:eastAsiaTheme="minorEastAsia" w:cstheme="minorEastAsia"/>
          <w:b/>
          <w:bCs/>
          <w:sz w:val="32"/>
          <w:szCs w:val="32"/>
          <w:lang w:val="en-US" w:eastAsia="zh-CN"/>
        </w:rPr>
        <w:t>积极反馈</w:t>
      </w:r>
      <w:bookmarkEnd w:id="3"/>
    </w:p>
    <w:p w14:paraId="33B4AEBE">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b/>
          <w:bCs/>
          <w:sz w:val="28"/>
          <w:szCs w:val="28"/>
          <w:highlight w:val="none"/>
          <w:lang w:val="en-US" w:eastAsia="zh-CN"/>
        </w:rPr>
        <w:t>疗效表现突出，症状改善显著：</w:t>
      </w:r>
      <w:r>
        <w:rPr>
          <w:rFonts w:hint="eastAsia" w:asciiTheme="minorEastAsia" w:hAnsiTheme="minorEastAsia" w:eastAsiaTheme="minorEastAsia" w:cstheme="minorEastAsia"/>
          <w:sz w:val="28"/>
          <w:szCs w:val="28"/>
          <w:highlight w:val="none"/>
          <w:lang w:val="en-US" w:eastAsia="zh-CN"/>
        </w:rPr>
        <w:t>数据显示，95% 的患者反馈血压得到良好或基本控制，充分证明药物对原发性高血压的降压效果稳定可靠。同时，针对头晕、头痛等高血压核心不适症状，9</w:t>
      </w:r>
      <w:r>
        <w:rPr>
          <w:rFonts w:hint="eastAsia" w:asciiTheme="minorEastAsia" w:hAnsiTheme="minorEastAsia" w:cstheme="minorEastAsia"/>
          <w:sz w:val="28"/>
          <w:szCs w:val="28"/>
          <w:highlight w:val="none"/>
          <w:lang w:val="en-US" w:eastAsia="zh-CN"/>
        </w:rPr>
        <w:t>3</w:t>
      </w:r>
      <w:bookmarkStart w:id="5" w:name="_GoBack"/>
      <w:bookmarkEnd w:id="5"/>
      <w:r>
        <w:rPr>
          <w:rFonts w:hint="eastAsia" w:asciiTheme="minorEastAsia" w:hAnsiTheme="minorEastAsia" w:eastAsiaTheme="minorEastAsia" w:cstheme="minorEastAsia"/>
          <w:sz w:val="28"/>
          <w:szCs w:val="28"/>
          <w:highlight w:val="none"/>
          <w:lang w:val="en-US" w:eastAsia="zh-CN"/>
        </w:rPr>
        <w:t>% 的症状改善率进一步印证了药物在缓解临床症状、提升患者身体舒适度方面的显著作用，为患者后续治疗信心奠定了坚实基础。</w:t>
      </w:r>
    </w:p>
    <w:p w14:paraId="0276B3D3">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b/>
          <w:bCs/>
          <w:sz w:val="28"/>
          <w:szCs w:val="28"/>
          <w:highlight w:val="none"/>
          <w:lang w:val="en-US" w:eastAsia="zh-CN"/>
        </w:rPr>
        <w:t>安全性良好，耐受性佳：</w:t>
      </w:r>
      <w:r>
        <w:rPr>
          <w:rFonts w:hint="eastAsia" w:asciiTheme="minorEastAsia" w:hAnsiTheme="minorEastAsia" w:eastAsiaTheme="minorEastAsia" w:cstheme="minorEastAsia"/>
          <w:sz w:val="28"/>
          <w:szCs w:val="28"/>
          <w:highlight w:val="none"/>
          <w:lang w:val="en-US" w:eastAsia="zh-CN"/>
        </w:rPr>
        <w:t>78% 的患者在用药期间未出现任何明显不适，</w:t>
      </w:r>
      <w:r>
        <w:rPr>
          <w:rFonts w:hint="eastAsia" w:asciiTheme="minorEastAsia" w:hAnsiTheme="minorEastAsia" w:cstheme="minorEastAsia"/>
          <w:sz w:val="28"/>
          <w:szCs w:val="28"/>
          <w:highlight w:val="none"/>
          <w:lang w:val="en-US" w:eastAsia="zh-CN"/>
        </w:rPr>
        <w:t>而</w:t>
      </w:r>
      <w:r>
        <w:rPr>
          <w:rFonts w:hint="eastAsia" w:asciiTheme="minorEastAsia" w:hAnsiTheme="minorEastAsia" w:eastAsiaTheme="minorEastAsia" w:cstheme="minorEastAsia"/>
          <w:sz w:val="28"/>
          <w:szCs w:val="28"/>
          <w:highlight w:val="none"/>
          <w:lang w:val="en-US" w:eastAsia="zh-CN"/>
        </w:rPr>
        <w:t>出现轻微不良反应</w:t>
      </w:r>
      <w:r>
        <w:rPr>
          <w:rFonts w:hint="eastAsia" w:asciiTheme="minorEastAsia" w:hAnsiTheme="minorEastAsia" w:cstheme="minorEastAsia"/>
          <w:sz w:val="28"/>
          <w:szCs w:val="28"/>
          <w:highlight w:val="none"/>
          <w:lang w:val="en-US" w:eastAsia="zh-CN"/>
        </w:rPr>
        <w:t>的患者</w:t>
      </w:r>
      <w:r>
        <w:rPr>
          <w:rFonts w:hint="eastAsia" w:asciiTheme="minorEastAsia" w:hAnsiTheme="minorEastAsia" w:eastAsiaTheme="minorEastAsia" w:cstheme="minorEastAsia"/>
          <w:sz w:val="28"/>
          <w:szCs w:val="28"/>
          <w:highlight w:val="none"/>
          <w:lang w:val="en-US" w:eastAsia="zh-CN"/>
        </w:rPr>
        <w:t>，均为轻度、可耐受的症状，未出现严重不良反应报告。这表明该药物在患者群体中的安全性表现优异，降低了患者因不适导致的擅自停药风险，为长期规律治疗提供了重要保障。</w:t>
      </w:r>
    </w:p>
    <w:p w14:paraId="42631699">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highlight w:val="none"/>
          <w:lang w:val="en-US" w:eastAsia="zh-CN"/>
        </w:rPr>
      </w:pPr>
      <w:r>
        <w:rPr>
          <w:rFonts w:hint="eastAsia" w:asciiTheme="minorEastAsia" w:hAnsiTheme="minorEastAsia" w:eastAsiaTheme="minorEastAsia" w:cstheme="minorEastAsia"/>
          <w:b/>
          <w:bCs/>
          <w:sz w:val="28"/>
          <w:szCs w:val="28"/>
          <w:highlight w:val="none"/>
          <w:lang w:val="en-US" w:eastAsia="zh-CN"/>
        </w:rPr>
        <w:t>患者配合度高，治疗依从性</w:t>
      </w:r>
      <w:r>
        <w:rPr>
          <w:rFonts w:hint="eastAsia" w:asciiTheme="minorEastAsia" w:hAnsiTheme="minorEastAsia" w:cstheme="minorEastAsia"/>
          <w:b/>
          <w:bCs/>
          <w:sz w:val="28"/>
          <w:szCs w:val="28"/>
          <w:highlight w:val="none"/>
          <w:lang w:val="en-US" w:eastAsia="zh-CN"/>
        </w:rPr>
        <w:t>较好</w:t>
      </w:r>
      <w:r>
        <w:rPr>
          <w:rFonts w:hint="eastAsia" w:asciiTheme="minorEastAsia" w:hAnsiTheme="minorEastAsia" w:eastAsiaTheme="minorEastAsia" w:cstheme="minorEastAsia"/>
          <w:b/>
          <w:bCs/>
          <w:sz w:val="28"/>
          <w:szCs w:val="28"/>
          <w:highlight w:val="none"/>
          <w:lang w:val="en-US" w:eastAsia="zh-CN"/>
        </w:rPr>
        <w:t>：</w:t>
      </w:r>
      <w:r>
        <w:rPr>
          <w:rFonts w:hint="eastAsia" w:asciiTheme="minorEastAsia" w:hAnsiTheme="minorEastAsia" w:eastAsiaTheme="minorEastAsia" w:cstheme="minorEastAsia"/>
          <w:sz w:val="28"/>
          <w:szCs w:val="28"/>
          <w:highlight w:val="none"/>
          <w:lang w:val="en-US" w:eastAsia="zh-CN"/>
        </w:rPr>
        <w:t>用药行为上，61% 的患者能完全规律服用药物，未出现擅自停药、漏服情况，体现了患者对高血压治疗重要性的认知充分。饮食配合上，73% 的患者能严格遵循低盐饮食，14% 的患者大部分时间可做到低盐，较高的饮食干预配合度与药物治疗形成协同效应，进一步提升了降压效果。同时，48% 的患者每次复诊都会详细反馈用药感受，27% 的患者在出现明显不适或疗效不佳时主动反馈，展现了积极的治疗参与态度。</w:t>
      </w:r>
    </w:p>
    <w:p w14:paraId="7E34954F">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default"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28"/>
          <w:szCs w:val="28"/>
          <w:highlight w:val="none"/>
          <w:lang w:val="en-US" w:eastAsia="zh-CN"/>
        </w:rPr>
        <w:t>临床认可度高，用药逻辑规范：</w:t>
      </w:r>
      <w:r>
        <w:rPr>
          <w:rFonts w:hint="eastAsia" w:asciiTheme="minorEastAsia" w:hAnsiTheme="minorEastAsia" w:eastAsiaTheme="minorEastAsia" w:cstheme="minorEastAsia"/>
          <w:sz w:val="28"/>
          <w:szCs w:val="28"/>
          <w:highlight w:val="none"/>
          <w:lang w:val="en-US" w:eastAsia="zh-CN"/>
        </w:rPr>
        <w:t>药物获得了医生与患者的双重认可。用药起始原因数据显示，46% 的患者因医生首次诊断推荐而使用该药物，36% 的患者因既往用药效果不佳经医生调整为该药物，说明医生在临床诊疗中对该药物的疗效与安全性充分信任，其应用以专业医疗判断为核心驱动。仅 18% 的患者因亲友推荐使用，且均经过医生评估同意，未出现盲目用药情况，整体用药逻辑科学规范，进一步印证了药物的临床应用价值</w:t>
      </w:r>
      <w:r>
        <w:rPr>
          <w:rFonts w:hint="eastAsia" w:asciiTheme="minorEastAsia" w:hAnsiTheme="minorEastAsia" w:cstheme="minorEastAsia"/>
          <w:sz w:val="28"/>
          <w:szCs w:val="28"/>
          <w:highlight w:val="none"/>
          <w:lang w:val="en-US" w:eastAsia="zh-CN"/>
        </w:rPr>
        <w:t>。</w:t>
      </w:r>
    </w:p>
    <w:p w14:paraId="1102B13B">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lang w:val="en-US" w:eastAsia="zh-CN"/>
        </w:rPr>
      </w:pPr>
      <w:bookmarkStart w:id="4" w:name="_Toc10181"/>
      <w:r>
        <w:rPr>
          <w:rFonts w:hint="eastAsia" w:asciiTheme="minorEastAsia" w:hAnsiTheme="minorEastAsia" w:eastAsiaTheme="minorEastAsia" w:cstheme="minorEastAsia"/>
          <w:b/>
          <w:bCs/>
          <w:sz w:val="32"/>
          <w:szCs w:val="32"/>
          <w:lang w:val="en-US" w:eastAsia="zh-CN"/>
        </w:rPr>
        <w:t>待改进反馈</w:t>
      </w:r>
      <w:bookmarkEnd w:id="4"/>
    </w:p>
    <w:p w14:paraId="64785AB9">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b w:val="0"/>
          <w:bCs w:val="0"/>
          <w:sz w:val="28"/>
          <w:szCs w:val="28"/>
          <w:highlight w:val="none"/>
        </w:rPr>
      </w:pPr>
      <w:r>
        <w:rPr>
          <w:rFonts w:hint="eastAsia" w:asciiTheme="minorEastAsia" w:hAnsiTheme="minorEastAsia" w:eastAsiaTheme="minorEastAsia" w:cstheme="minorEastAsia"/>
          <w:b/>
          <w:bCs/>
          <w:sz w:val="28"/>
          <w:szCs w:val="28"/>
          <w:highlight w:val="none"/>
        </w:rPr>
        <w:t>用药依从性仍有提升空间</w:t>
      </w:r>
      <w:r>
        <w:rPr>
          <w:rFonts w:hint="eastAsia" w:asciiTheme="minorEastAsia" w:hAnsiTheme="minorEastAsia" w:eastAsiaTheme="minorEastAsia" w:cstheme="minorEastAsia"/>
          <w:b/>
          <w:bCs/>
          <w:sz w:val="28"/>
          <w:szCs w:val="28"/>
          <w:highlight w:val="none"/>
          <w:lang w:val="en-US" w:eastAsia="zh-CN"/>
        </w:rPr>
        <w:t>：</w:t>
      </w:r>
      <w:r>
        <w:rPr>
          <w:rFonts w:hint="eastAsia" w:asciiTheme="minorEastAsia" w:hAnsiTheme="minorEastAsia" w:eastAsiaTheme="minorEastAsia" w:cstheme="minorEastAsia"/>
          <w:b w:val="0"/>
          <w:bCs w:val="0"/>
          <w:sz w:val="28"/>
          <w:szCs w:val="28"/>
          <w:highlight w:val="none"/>
        </w:rPr>
        <w:t>39% 的患者存在不同程度的漏服情况，漏服行为可能导致血药浓度波动，影响血压控制的稳定性，甚至增加并发症风险。这一现象可能与患者用药习惯尚未完全养成、缺乏有效的服药提醒机制、对长期规律用药的重要性认知不足等因素相关，需通过针对性干预措施提升整体用药依从性。</w:t>
      </w:r>
    </w:p>
    <w:p w14:paraId="0D4AE363">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b w:val="0"/>
          <w:bCs w:val="0"/>
          <w:sz w:val="28"/>
          <w:szCs w:val="28"/>
          <w:highlight w:val="none"/>
        </w:rPr>
      </w:pPr>
      <w:r>
        <w:rPr>
          <w:rFonts w:hint="eastAsia" w:asciiTheme="minorEastAsia" w:hAnsiTheme="minorEastAsia" w:eastAsiaTheme="minorEastAsia" w:cstheme="minorEastAsia"/>
          <w:b/>
          <w:bCs/>
          <w:sz w:val="28"/>
          <w:szCs w:val="28"/>
          <w:highlight w:val="none"/>
        </w:rPr>
        <w:t>个性化临床支持需求未充分满足</w:t>
      </w:r>
      <w:r>
        <w:rPr>
          <w:rFonts w:hint="eastAsia" w:asciiTheme="minorEastAsia" w:hAnsiTheme="minorEastAsia" w:cstheme="minorEastAsia"/>
          <w:b/>
          <w:bCs/>
          <w:sz w:val="28"/>
          <w:szCs w:val="28"/>
          <w:highlight w:val="none"/>
          <w:lang w:eastAsia="zh-CN"/>
        </w:rPr>
        <w:t>：</w:t>
      </w:r>
      <w:r>
        <w:rPr>
          <w:rFonts w:hint="eastAsia" w:asciiTheme="minorEastAsia" w:hAnsiTheme="minorEastAsia" w:eastAsiaTheme="minorEastAsia" w:cstheme="minorEastAsia"/>
          <w:b w:val="0"/>
          <w:bCs w:val="0"/>
          <w:sz w:val="28"/>
          <w:szCs w:val="28"/>
          <w:highlight w:val="none"/>
        </w:rPr>
        <w:t>61% 的患者最希望获得医生的用药剂量调整建议，22% 的患者需要副作用应对方法指导，反映出患者在治疗过程中对精准化、个性化医疗支持的迫切需求。同时，25% 的患者仅在医生询问时才反馈用药感受，被动反馈模式可能导致医生无法及时、全面掌握患者的疗效变化与不良反应情况，影响治疗方案的精准调整，提示临床需加强医患沟通引导，优化支持服务内容。</w:t>
      </w:r>
    </w:p>
    <w:p w14:paraId="603E480D">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b w:val="0"/>
          <w:bCs w:val="0"/>
          <w:sz w:val="28"/>
          <w:szCs w:val="28"/>
          <w:highlight w:val="none"/>
        </w:rPr>
      </w:pPr>
      <w:r>
        <w:rPr>
          <w:rFonts w:hint="eastAsia" w:asciiTheme="minorEastAsia" w:hAnsiTheme="minorEastAsia" w:eastAsiaTheme="minorEastAsia" w:cstheme="minorEastAsia"/>
          <w:b/>
          <w:bCs/>
          <w:sz w:val="28"/>
          <w:szCs w:val="28"/>
          <w:highlight w:val="none"/>
        </w:rPr>
        <w:t>药物本身存在多元化改进诉求</w:t>
      </w:r>
      <w:r>
        <w:rPr>
          <w:rFonts w:hint="eastAsia" w:asciiTheme="minorEastAsia" w:hAnsiTheme="minorEastAsia" w:cstheme="minorEastAsia"/>
          <w:b/>
          <w:bCs/>
          <w:sz w:val="28"/>
          <w:szCs w:val="28"/>
          <w:highlight w:val="none"/>
          <w:lang w:eastAsia="zh-CN"/>
        </w:rPr>
        <w:t>：</w:t>
      </w:r>
      <w:r>
        <w:rPr>
          <w:rFonts w:hint="eastAsia" w:asciiTheme="minorEastAsia" w:hAnsiTheme="minorEastAsia" w:eastAsiaTheme="minorEastAsia" w:cstheme="minorEastAsia"/>
          <w:b w:val="0"/>
          <w:bCs w:val="0"/>
          <w:sz w:val="28"/>
          <w:szCs w:val="28"/>
          <w:highlight w:val="none"/>
        </w:rPr>
        <w:t>患者对药物本身的改进需求呈现多元化特征，涵盖疗效、经济性与使用便捷性等核心维度。36% 的患者希望进一步提高降压效果和稳定性，追求更理想的治疗目标；34% 的患者建议降低药品价格，反映出部分患者对用药经济负担的关注，；30% 的患者期望提供更多剂型选择，以适配不同人群的用药习惯与身体状况，如吞咽困难患者可能需要分散片、口崩片等剂型，这些诉求为药物研发与优化提供了明确方向。</w:t>
      </w:r>
    </w:p>
    <w:p w14:paraId="4EF96012">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b/>
          <w:bCs/>
          <w:sz w:val="28"/>
          <w:szCs w:val="28"/>
          <w:highlight w:val="none"/>
        </w:rPr>
        <w:t>饮食干预支持需结合地域强化</w:t>
      </w:r>
      <w:r>
        <w:rPr>
          <w:rFonts w:hint="eastAsia" w:asciiTheme="minorEastAsia" w:hAnsiTheme="minorEastAsia" w:cstheme="minorEastAsia"/>
          <w:b/>
          <w:bCs/>
          <w:sz w:val="28"/>
          <w:szCs w:val="28"/>
          <w:highlight w:val="none"/>
          <w:lang w:eastAsia="zh-CN"/>
        </w:rPr>
        <w:t>：</w:t>
      </w:r>
      <w:r>
        <w:rPr>
          <w:rFonts w:hint="eastAsia" w:asciiTheme="minorEastAsia" w:hAnsiTheme="minorEastAsia" w:eastAsiaTheme="minorEastAsia" w:cstheme="minorEastAsia"/>
          <w:b w:val="0"/>
          <w:bCs w:val="0"/>
          <w:sz w:val="28"/>
          <w:szCs w:val="28"/>
          <w:highlight w:val="none"/>
        </w:rPr>
        <w:t>饮食配合方面，仍有部分患者存在执行困难。13% 的患者表示偶尔注意低盐饮食但很难坚持，这一比例虽不高，但结合新疆维吾尔自治区的地域饮食习惯与口味偏好，饮食干预的难度相对较大。低盐饮食是高血压治疗的重要辅助措施，与药物治疗协同发挥作用，部分患者的执行困难可能影响整体治疗效果。因此，需结合地域饮食文化特点，提供更具可操作性的饮食指导方案，强化饮食干预支持，帮助患者更好地坚持低盐饮食。</w:t>
      </w:r>
    </w:p>
    <w:p w14:paraId="65CB29A5">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0" w:leftChars="0" w:firstLine="0" w:firstLineChars="0"/>
        <w:textAlignment w:val="auto"/>
        <w:outlineLvl w:val="0"/>
        <w:rPr>
          <w:rFonts w:hint="eastAsia" w:ascii="宋体" w:hAnsi="宋体" w:eastAsia="宋体" w:cs="宋体"/>
          <w:b/>
          <w:bCs/>
          <w:color w:val="75BD42" w:themeColor="accent4"/>
          <w:sz w:val="40"/>
          <w:szCs w:val="40"/>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pPr>
      <w:r>
        <w:rPr>
          <w:rFonts w:hint="eastAsia" w:ascii="宋体" w:hAnsi="宋体" w:eastAsia="宋体" w:cs="宋体"/>
          <w:b/>
          <w:bCs/>
          <w:color w:val="75BD42" w:themeColor="accent4"/>
          <w:sz w:val="40"/>
          <w:szCs w:val="40"/>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综合分析与建议</w:t>
      </w:r>
    </w:p>
    <w:p w14:paraId="465F3AAB">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highlight w:val="none"/>
          <w:lang w:val="en-US" w:eastAsia="zh-CN"/>
        </w:rPr>
      </w:pPr>
      <w:r>
        <w:rPr>
          <w:rFonts w:hint="eastAsia" w:asciiTheme="minorEastAsia" w:hAnsiTheme="minorEastAsia" w:eastAsiaTheme="minorEastAsia" w:cstheme="minorEastAsia"/>
          <w:b/>
          <w:bCs/>
          <w:sz w:val="32"/>
          <w:szCs w:val="32"/>
          <w:highlight w:val="none"/>
          <w:lang w:val="en-US" w:eastAsia="zh-CN"/>
        </w:rPr>
        <w:t>强化用药依从性管理，构建全周期提醒与监督体系</w:t>
      </w:r>
    </w:p>
    <w:p w14:paraId="5D9C9BB4">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z w:val="28"/>
          <w:szCs w:val="28"/>
          <w:highlight w:val="none"/>
        </w:rPr>
        <w:t>针对部分患者存在漏服的问题，建议搭建 “医疗指导 + 工具辅助 + 家属协同” 的三维依从性管理模式。临床医生需在处方时明确告知规律用药的重要性，结合患者生活习惯制定个性化服药计划；推广使用智能服药提醒设备、手机 APP 打卡等数字化工具，对存在漏服情况的患者建立定期随访机制。同时，通过社区健康讲座、患者互助小组等形式强化用药教育，引导家属参与监督，关注不同病程患者的依从性差异，通过分层管理提升整体规律用药比例，减少因漏服导致的血压波动。</w:t>
      </w:r>
    </w:p>
    <w:p w14:paraId="038FFD8F">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highlight w:val="none"/>
          <w:lang w:val="en-US" w:eastAsia="zh-CN"/>
        </w:rPr>
      </w:pPr>
      <w:r>
        <w:rPr>
          <w:rFonts w:hint="eastAsia" w:asciiTheme="minorEastAsia" w:hAnsiTheme="minorEastAsia" w:eastAsiaTheme="minorEastAsia" w:cstheme="minorEastAsia"/>
          <w:b/>
          <w:bCs/>
          <w:sz w:val="32"/>
          <w:szCs w:val="32"/>
          <w:highlight w:val="none"/>
          <w:lang w:val="en-US" w:eastAsia="zh-CN"/>
        </w:rPr>
        <w:t>优化临床个性化服务，完善医患沟通与反馈机制</w:t>
      </w:r>
    </w:p>
    <w:p w14:paraId="3255F45A">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z w:val="28"/>
          <w:szCs w:val="28"/>
          <w:highlight w:val="none"/>
        </w:rPr>
        <w:t>响应患者对用药剂量调整建议的核心需求，建议医生将个性化用药指导作为复诊核心内容，结合患者血压控制情况、症状变化及合并症，精准调整用药方案。针对部分患者被动反馈的问题，建立 “主动询问 + 标准化反馈表单” 机制，复诊时主动引导患者从疗效、不良反应、生活影响等维度全面反馈，同时开通线上咨询渠道，方便患者随时沟通疑问。此外，加强对副作用应对方法的科普，通过手册、短视频等形式向患者普及常见不良反应的处理方式，缓解患者焦虑，提升治疗信心。</w:t>
      </w:r>
    </w:p>
    <w:p w14:paraId="6DE6B734">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highlight w:val="none"/>
          <w:lang w:val="en-US" w:eastAsia="zh-CN"/>
        </w:rPr>
      </w:pPr>
      <w:r>
        <w:rPr>
          <w:rFonts w:hint="eastAsia" w:asciiTheme="minorEastAsia" w:hAnsiTheme="minorEastAsia" w:eastAsiaTheme="minorEastAsia" w:cstheme="minorEastAsia"/>
          <w:b/>
          <w:bCs/>
          <w:sz w:val="32"/>
          <w:szCs w:val="32"/>
          <w:highlight w:val="none"/>
          <w:lang w:val="en-US" w:eastAsia="zh-CN"/>
        </w:rPr>
        <w:t>聚焦药物多元化诉求，推动疗效、价格与剂型优化</w:t>
      </w:r>
    </w:p>
    <w:p w14:paraId="2ADD4136">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eastAsiaTheme="minorEastAsia" w:cstheme="minorEastAsia"/>
          <w:sz w:val="28"/>
          <w:szCs w:val="28"/>
          <w:highlight w:val="none"/>
        </w:rPr>
      </w:pPr>
      <w:r>
        <w:rPr>
          <w:rFonts w:hint="eastAsia" w:asciiTheme="minorEastAsia" w:hAnsiTheme="minorEastAsia" w:eastAsiaTheme="minorEastAsia" w:cstheme="minorEastAsia"/>
          <w:sz w:val="28"/>
          <w:szCs w:val="28"/>
          <w:highlight w:val="none"/>
        </w:rPr>
        <w:t>针对患者对药物的三大核心改进诉求，建议研发端重点提升降压效果稳定性，结合新疆地域气候、饮食特点开展针对性临床研究，优化药物配方；供应端联动医保部门，合理调整药品价格，减轻患者的经济负担，同时扩大基层医疗机构药品供应覆盖，提升药物可及性。剂型方面，响应患者对多样化选择的需求，推出不同剂型，适配不同年龄、吞咽能力患者的使用习惯，尤其关注老年患者、慢性病合并症患者的用药便捷性，通过多维度优化提升药物综合适配性。</w:t>
      </w:r>
    </w:p>
    <w:p w14:paraId="265C5AC3">
      <w:pPr>
        <w:keepNext w:val="0"/>
        <w:keepLines w:val="0"/>
        <w:pageBreakBefore w:val="0"/>
        <w:widowControl w:val="0"/>
        <w:numPr>
          <w:ilvl w:val="0"/>
          <w:numId w:val="8"/>
        </w:numPr>
        <w:kinsoku/>
        <w:wordWrap/>
        <w:overflowPunct/>
        <w:topLinePunct w:val="0"/>
        <w:autoSpaceDE/>
        <w:autoSpaceDN/>
        <w:bidi w:val="0"/>
        <w:adjustRightInd/>
        <w:snapToGrid/>
        <w:spacing w:before="157" w:beforeLines="50" w:line="360" w:lineRule="auto"/>
        <w:ind w:left="420" w:leftChars="0" w:hanging="420" w:firstLineChars="0"/>
        <w:textAlignment w:val="auto"/>
        <w:outlineLvl w:val="1"/>
        <w:rPr>
          <w:rFonts w:hint="eastAsia" w:asciiTheme="minorEastAsia" w:hAnsiTheme="minorEastAsia" w:eastAsiaTheme="minorEastAsia" w:cstheme="minorEastAsia"/>
          <w:b/>
          <w:bCs/>
          <w:sz w:val="32"/>
          <w:szCs w:val="32"/>
          <w:highlight w:val="none"/>
          <w:lang w:val="en-US" w:eastAsia="zh-CN"/>
        </w:rPr>
      </w:pPr>
      <w:r>
        <w:rPr>
          <w:rFonts w:hint="eastAsia" w:asciiTheme="minorEastAsia" w:hAnsiTheme="minorEastAsia" w:eastAsiaTheme="minorEastAsia" w:cstheme="minorEastAsia"/>
          <w:b/>
          <w:bCs/>
          <w:sz w:val="32"/>
          <w:szCs w:val="32"/>
          <w:highlight w:val="none"/>
          <w:lang w:val="en-US" w:eastAsia="zh-CN"/>
        </w:rPr>
        <w:t>结合地域特征强化干预，构建饮食与治疗协同体系</w:t>
      </w:r>
    </w:p>
    <w:p w14:paraId="32764351">
      <w:pPr>
        <w:keepNext w:val="0"/>
        <w:keepLines w:val="0"/>
        <w:pageBreakBefore w:val="0"/>
        <w:widowControl w:val="0"/>
        <w:kinsoku/>
        <w:wordWrap/>
        <w:overflowPunct/>
        <w:topLinePunct w:val="0"/>
        <w:autoSpaceDE/>
        <w:autoSpaceDN/>
        <w:bidi w:val="0"/>
        <w:adjustRightInd/>
        <w:snapToGrid/>
        <w:spacing w:before="157" w:beforeLines="50" w:line="360" w:lineRule="auto"/>
        <w:ind w:firstLine="420" w:firstLineChars="0"/>
        <w:textAlignment w:val="auto"/>
        <w:rPr>
          <w:rFonts w:hint="eastAsia" w:asciiTheme="minorEastAsia" w:hAnsiTheme="minorEastAsia" w:cstheme="minorEastAsia"/>
          <w:sz w:val="28"/>
          <w:szCs w:val="28"/>
          <w:highlight w:val="none"/>
          <w:lang w:eastAsia="zh-CN"/>
        </w:rPr>
      </w:pPr>
      <w:r>
        <w:rPr>
          <w:rFonts w:hint="eastAsia" w:asciiTheme="minorEastAsia" w:hAnsiTheme="minorEastAsia" w:eastAsiaTheme="minorEastAsia" w:cstheme="minorEastAsia"/>
          <w:sz w:val="28"/>
          <w:szCs w:val="28"/>
          <w:highlight w:val="none"/>
        </w:rPr>
        <w:t>针对部分患者难以坚持低盐饮食的问题，结合新疆维吾尔自治区饮食文化特点，制定差异化饮食指导方案。组织营养师、基层医生开展 “低盐饮食本土化” 科普，推广适合当地口味的低盐烹饪方法，提供民族特色低盐食谱；联合社区、商超设立低盐食品专柜，方便患者采购。同时，将饮食干预纳入患者健康管理档案，定期评估执行情况，通过 “药物治疗 + 饮食干预 + 运动指导” 的综合模式，进一步提升血压控制效果，助力患者生活质量持续改善。</w:t>
      </w:r>
    </w:p>
    <w:p w14:paraId="38299132">
      <w:pPr>
        <w:spacing w:line="360" w:lineRule="auto"/>
        <w:ind w:firstLine="420" w:firstLineChars="0"/>
        <w:rPr>
          <w:rFonts w:hint="eastAsia" w:asciiTheme="minorEastAsia" w:hAnsiTheme="minorEastAsia" w:cstheme="minorEastAsia"/>
          <w:sz w:val="28"/>
          <w:szCs w:val="28"/>
          <w:lang w:eastAsia="zh-CN"/>
        </w:rPr>
      </w:pPr>
    </w:p>
    <w:p w14:paraId="2F8FEAE1">
      <w:pPr>
        <w:spacing w:line="360" w:lineRule="auto"/>
        <w:ind w:firstLine="420" w:firstLineChars="0"/>
        <w:rPr>
          <w:rFonts w:hint="eastAsia" w:asciiTheme="minorEastAsia" w:hAnsiTheme="minorEastAsia" w:cstheme="minorEastAsia"/>
          <w:sz w:val="28"/>
          <w:szCs w:val="28"/>
          <w:lang w:eastAsia="zh-CN"/>
        </w:rPr>
      </w:pPr>
    </w:p>
    <w:p w14:paraId="48FEBED3">
      <w:pPr>
        <w:spacing w:line="360" w:lineRule="auto"/>
        <w:ind w:firstLine="420" w:firstLineChars="0"/>
        <w:rPr>
          <w:rFonts w:hint="eastAsia" w:asciiTheme="minorEastAsia" w:hAnsiTheme="minorEastAsia" w:cstheme="minorEastAsia"/>
          <w:sz w:val="28"/>
          <w:szCs w:val="28"/>
          <w:lang w:eastAsia="zh-CN"/>
        </w:rPr>
      </w:pPr>
    </w:p>
    <w:p w14:paraId="6DE5A242">
      <w:pPr>
        <w:spacing w:line="360" w:lineRule="auto"/>
        <w:ind w:firstLine="420" w:firstLineChars="0"/>
        <w:rPr>
          <w:rFonts w:hint="eastAsia" w:asciiTheme="minorEastAsia" w:hAnsiTheme="minorEastAsia" w:cstheme="minorEastAsia"/>
          <w:sz w:val="28"/>
          <w:szCs w:val="28"/>
          <w:lang w:eastAsia="zh-CN"/>
        </w:rPr>
      </w:pPr>
    </w:p>
    <w:p w14:paraId="1EBBBA13">
      <w:pPr>
        <w:spacing w:line="360" w:lineRule="auto"/>
        <w:ind w:firstLine="420" w:firstLineChars="0"/>
        <w:rPr>
          <w:rFonts w:hint="eastAsia" w:asciiTheme="minorEastAsia" w:hAnsiTheme="minorEastAsia" w:cstheme="minorEastAsia"/>
          <w:sz w:val="28"/>
          <w:szCs w:val="28"/>
          <w:lang w:eastAsia="zh-CN"/>
        </w:rPr>
      </w:pPr>
    </w:p>
    <w:p w14:paraId="3B50D280">
      <w:pPr>
        <w:spacing w:line="360" w:lineRule="auto"/>
        <w:ind w:firstLine="420" w:firstLineChars="0"/>
        <w:rPr>
          <w:rFonts w:hint="eastAsia" w:asciiTheme="minorEastAsia" w:hAnsiTheme="minorEastAsia" w:cstheme="minorEastAsia"/>
          <w:sz w:val="28"/>
          <w:szCs w:val="28"/>
          <w:lang w:eastAsia="zh-CN"/>
        </w:rPr>
      </w:pPr>
    </w:p>
    <w:p w14:paraId="16C95E6D">
      <w:pPr>
        <w:spacing w:line="360" w:lineRule="auto"/>
        <w:ind w:firstLine="420" w:firstLineChars="0"/>
        <w:rPr>
          <w:rFonts w:hint="eastAsia" w:asciiTheme="minorEastAsia" w:hAnsiTheme="minorEastAsia" w:cstheme="minorEastAsia"/>
          <w:sz w:val="28"/>
          <w:szCs w:val="28"/>
          <w:lang w:eastAsia="zh-CN"/>
        </w:rPr>
      </w:pPr>
    </w:p>
    <w:p w14:paraId="6D066DCB">
      <w:pPr>
        <w:spacing w:line="360" w:lineRule="auto"/>
        <w:ind w:firstLine="420" w:firstLineChars="0"/>
        <w:rPr>
          <w:rFonts w:hint="eastAsia" w:asciiTheme="minorEastAsia" w:hAnsiTheme="minorEastAsia" w:cstheme="minorEastAsia"/>
          <w:sz w:val="28"/>
          <w:szCs w:val="28"/>
          <w:lang w:eastAsia="zh-CN"/>
        </w:rPr>
      </w:pPr>
    </w:p>
    <w:p w14:paraId="66A155F6">
      <w:pPr>
        <w:spacing w:line="360" w:lineRule="auto"/>
        <w:ind w:firstLine="420" w:firstLineChars="0"/>
        <w:rPr>
          <w:rFonts w:hint="eastAsia" w:asciiTheme="minorEastAsia" w:hAnsiTheme="minorEastAsia" w:cstheme="minorEastAsia"/>
          <w:sz w:val="28"/>
          <w:szCs w:val="28"/>
          <w:lang w:eastAsia="zh-CN"/>
        </w:rPr>
      </w:pPr>
    </w:p>
    <w:p w14:paraId="080E2652">
      <w:pPr>
        <w:spacing w:line="360" w:lineRule="auto"/>
        <w:ind w:firstLine="420" w:firstLineChars="0"/>
        <w:rPr>
          <w:rFonts w:hint="eastAsia" w:asciiTheme="minorEastAsia" w:hAnsiTheme="minorEastAsia" w:cstheme="minorEastAsia"/>
          <w:sz w:val="28"/>
          <w:szCs w:val="28"/>
          <w:lang w:eastAsia="zh-CN"/>
        </w:rPr>
      </w:pPr>
    </w:p>
    <w:p w14:paraId="3B2829D3">
      <w:pPr>
        <w:rPr>
          <w:rFonts w:hint="eastAsia" w:asciiTheme="minorEastAsia" w:hAnsiTheme="minorEastAsia" w:cstheme="minorEastAsia"/>
          <w:sz w:val="28"/>
          <w:szCs w:val="28"/>
          <w:lang w:eastAsia="zh-CN"/>
        </w:rPr>
      </w:pPr>
      <w:r>
        <w:rPr>
          <w:rFonts w:hint="eastAsia" w:asciiTheme="minorEastAsia" w:hAnsiTheme="minorEastAsia" w:cstheme="minorEastAsia"/>
          <w:sz w:val="28"/>
          <w:szCs w:val="28"/>
          <w:lang w:eastAsia="zh-CN"/>
        </w:rPr>
        <w:br w:type="page"/>
      </w:r>
    </w:p>
    <w:p w14:paraId="5D5FFB4D">
      <w:pPr>
        <w:keepNext w:val="0"/>
        <w:keepLines w:val="0"/>
        <w:pageBreakBefore w:val="0"/>
        <w:widowControl w:val="0"/>
        <w:numPr>
          <w:ilvl w:val="0"/>
          <w:numId w:val="1"/>
        </w:numPr>
        <w:kinsoku/>
        <w:wordWrap/>
        <w:overflowPunct/>
        <w:topLinePunct w:val="0"/>
        <w:autoSpaceDE/>
        <w:autoSpaceDN/>
        <w:bidi w:val="0"/>
        <w:adjustRightInd/>
        <w:snapToGrid/>
        <w:spacing w:after="313" w:afterLines="100" w:line="500" w:lineRule="exact"/>
        <w:ind w:left="0" w:leftChars="0" w:firstLine="0" w:firstLineChars="0"/>
        <w:textAlignment w:val="auto"/>
        <w:outlineLvl w:val="0"/>
        <w:rPr>
          <w:rFonts w:hint="eastAsia" w:asciiTheme="minorEastAsia" w:hAnsiTheme="minorEastAsia" w:eastAsiaTheme="minorEastAsia" w:cstheme="minorEastAsia"/>
          <w:sz w:val="28"/>
          <w:szCs w:val="28"/>
          <w:lang w:val="en-US" w:eastAsia="zh-CN"/>
        </w:rPr>
      </w:pPr>
      <w:r>
        <w:rPr>
          <w:rFonts w:hint="eastAsia" w:ascii="宋体" w:hAnsi="宋体" w:eastAsia="宋体" w:cs="宋体"/>
          <w:b/>
          <w:bCs/>
          <w:color w:val="75BD42" w:themeColor="accent4"/>
          <w:sz w:val="40"/>
          <w:szCs w:val="40"/>
          <w:lang w:val="en-US" w:eastAsia="zh-CN"/>
          <w14:glow w14:rad="0">
            <w14:srgbClr w14:val="000000"/>
          </w14:glow>
          <w14:reflection w14:blurRad="0" w14:stA="0" w14:stPos="0" w14:endA="0" w14:endPos="0" w14:dist="0" w14:dir="0" w14:fadeDir="0" w14:sx="0" w14:sy="0" w14:kx="0" w14:ky="0" w14:algn="none"/>
          <w14:textFill>
            <w14:solidFill>
              <w14:schemeClr w14:val="accent4"/>
            </w14:solidFill>
          </w14:textFill>
          <w14:props3d w14:extrusionH="57150" w14:prstMaterial="softEdge">
            <w14:bevelT w14:w="25400" w14:h="38100"/>
          </w14:props3d>
        </w:rPr>
        <w:t>附件-问卷题目内容</w:t>
      </w:r>
    </w:p>
    <w:p w14:paraId="2426E0B4">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您确诊原发性高血压的时间大概是？</w:t>
      </w:r>
    </w:p>
    <w:p w14:paraId="58CB3070">
      <w:pPr>
        <w:spacing w:line="360" w:lineRule="auto"/>
        <w:ind w:firstLine="420" w:firstLineChars="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A.1 年以内 </w:t>
      </w:r>
    </w:p>
    <w:p w14:paraId="55D28A70">
      <w:pPr>
        <w:spacing w:line="360" w:lineRule="auto"/>
        <w:ind w:firstLine="420" w:firstLineChars="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B.1-3年 </w:t>
      </w:r>
    </w:p>
    <w:p w14:paraId="3B90421D">
      <w:pPr>
        <w:spacing w:line="360" w:lineRule="auto"/>
        <w:ind w:firstLine="420" w:firstLineChars="0"/>
        <w:rPr>
          <w:rFonts w:hint="eastAsia"/>
          <w:b w:val="0"/>
          <w:bCs w:val="0"/>
          <w:sz w:val="28"/>
          <w:szCs w:val="28"/>
          <w:lang w:val="en-US" w:eastAsia="zh-CN"/>
        </w:rPr>
      </w:pPr>
      <w:r>
        <w:rPr>
          <w:rFonts w:hint="eastAsia" w:asciiTheme="minorEastAsia" w:hAnsiTheme="minorEastAsia" w:eastAsiaTheme="minorEastAsia" w:cstheme="minorEastAsia"/>
          <w:sz w:val="28"/>
          <w:szCs w:val="28"/>
          <w:lang w:val="en-US" w:eastAsia="zh-CN"/>
        </w:rPr>
        <w:t>C.3年以上</w:t>
      </w:r>
    </w:p>
    <w:p w14:paraId="1D934B38">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您开始服用厄贝沙坦氢氯噻嗪片的原因是？</w:t>
      </w:r>
    </w:p>
    <w:p w14:paraId="20B4F1F4">
      <w:pPr>
        <w:numPr>
          <w:ilvl w:val="0"/>
          <w:numId w:val="10"/>
        </w:numPr>
        <w:spacing w:line="360" w:lineRule="auto"/>
        <w:ind w:left="340" w:leftChars="0" w:firstLine="80" w:firstLineChars="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医生首次诊断后推荐 </w:t>
      </w:r>
    </w:p>
    <w:p w14:paraId="3D00F927">
      <w:pPr>
        <w:numPr>
          <w:ilvl w:val="0"/>
          <w:numId w:val="10"/>
        </w:numPr>
        <w:spacing w:line="360" w:lineRule="auto"/>
        <w:ind w:left="340" w:leftChars="0" w:firstLine="80" w:firstLineChars="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之前服用其他降压药效果不佳，医生调整用药 </w:t>
      </w:r>
    </w:p>
    <w:p w14:paraId="79A9E5CD">
      <w:pPr>
        <w:numPr>
          <w:ilvl w:val="0"/>
          <w:numId w:val="10"/>
        </w:numPr>
        <w:spacing w:line="360" w:lineRule="auto"/>
        <w:ind w:left="340" w:leftChars="0" w:firstLine="80" w:firstLineChars="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亲友推荐后经医生评估同意</w:t>
      </w:r>
    </w:p>
    <w:p w14:paraId="0F15091F">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您是否规律服用厄贝沙坦氢氯噻嗪片（未擅自停药、漏服）？</w:t>
      </w:r>
    </w:p>
    <w:p w14:paraId="0C5CF406">
      <w:pPr>
        <w:numPr>
          <w:ilvl w:val="0"/>
          <w:numId w:val="11"/>
        </w:numPr>
        <w:spacing w:line="360" w:lineRule="auto"/>
        <w:ind w:left="340" w:leftChars="0" w:firstLine="80" w:firstLineChars="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完全规律 </w:t>
      </w:r>
    </w:p>
    <w:p w14:paraId="20743F16">
      <w:pPr>
        <w:numPr>
          <w:ilvl w:val="0"/>
          <w:numId w:val="11"/>
        </w:numPr>
        <w:spacing w:line="360" w:lineRule="auto"/>
        <w:ind w:left="340" w:leftChars="0" w:firstLine="80" w:firstLineChars="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偶尔漏服（每周≤1 次） </w:t>
      </w:r>
    </w:p>
    <w:p w14:paraId="047ACE20">
      <w:pPr>
        <w:numPr>
          <w:ilvl w:val="0"/>
          <w:numId w:val="11"/>
        </w:numPr>
        <w:spacing w:line="360" w:lineRule="auto"/>
        <w:ind w:left="340" w:leftChars="0" w:firstLine="80" w:firstLineChars="0"/>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经常漏服（每周2-3次） </w:t>
      </w:r>
    </w:p>
    <w:p w14:paraId="28B63349">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服用厄贝沙坦氢氯噻嗪片后，您的血压控制情况整体如何？</w:t>
      </w:r>
    </w:p>
    <w:p w14:paraId="402F4F1B">
      <w:pPr>
        <w:spacing w:line="360" w:lineRule="auto"/>
        <w:ind w:firstLine="420" w:firstLineChars="0"/>
        <w:rPr>
          <w:rFonts w:hint="eastAsia" w:asciiTheme="minorEastAsia" w:hAnsiTheme="minorEastAsia" w:eastAsiaTheme="minorEastAsia" w:cstheme="minor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A.控制良好</w:t>
      </w:r>
    </w:p>
    <w:p w14:paraId="468B0817">
      <w:pPr>
        <w:spacing w:line="360" w:lineRule="auto"/>
        <w:ind w:firstLine="420" w:firstLineChars="0"/>
        <w:rPr>
          <w:rFonts w:hint="eastAsia"/>
          <w:b w:val="0"/>
          <w:bCs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B.基本控制</w:t>
      </w:r>
    </w:p>
    <w:p w14:paraId="3DCA1B04">
      <w:pPr>
        <w:spacing w:line="360" w:lineRule="auto"/>
        <w:ind w:firstLine="420" w:firstLineChars="0"/>
        <w:rPr>
          <w:rFonts w:hint="default"/>
          <w:b w:val="0"/>
          <w:bCs w:val="0"/>
          <w:sz w:val="28"/>
          <w:szCs w:val="28"/>
          <w:lang w:val="en-US" w:eastAsia="zh-CN"/>
        </w:rPr>
      </w:pPr>
      <w:r>
        <w:rPr>
          <w:rFonts w:hint="eastAsia" w:asciiTheme="minorEastAsia" w:hAnsiTheme="minorEastAsia" w:eastAsiaTheme="minorEastAsia" w:cstheme="minorEastAsia"/>
          <w:sz w:val="28"/>
          <w:szCs w:val="28"/>
          <w:lang w:val="en-US" w:eastAsia="zh-CN"/>
        </w:rPr>
        <w:t>C. 控制不佳</w:t>
      </w:r>
    </w:p>
    <w:p w14:paraId="75698951">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与服用该药物前相比，您的头晕、头痛等高血压相关症状变化是？</w:t>
      </w:r>
    </w:p>
    <w:p w14:paraId="1C1A9EC3">
      <w:pPr>
        <w:spacing w:line="360" w:lineRule="auto"/>
        <w:ind w:firstLine="420" w:firstLineChars="0"/>
        <w:rPr>
          <w:rFonts w:hint="default"/>
          <w:b w:val="0"/>
          <w:bCs w:val="0"/>
          <w:sz w:val="28"/>
          <w:szCs w:val="28"/>
          <w:lang w:val="en-US" w:eastAsia="zh-CN"/>
        </w:rPr>
      </w:pPr>
      <w:r>
        <w:rPr>
          <w:rFonts w:hint="default" w:asciiTheme="minorEastAsia" w:hAnsiTheme="minorEastAsia" w:eastAsiaTheme="minorEastAsia" w:cstheme="minorEastAsia"/>
          <w:sz w:val="28"/>
          <w:szCs w:val="28"/>
          <w:lang w:val="en-US" w:eastAsia="zh-CN"/>
        </w:rPr>
        <w:t xml:space="preserve">A.症状明显减轻 </w:t>
      </w:r>
      <w:r>
        <w:rPr>
          <w:rFonts w:hint="default" w:asciiTheme="minorEastAsia" w:hAnsiTheme="minorEastAsia" w:eastAsiaTheme="minorEastAsia" w:cstheme="minorEastAsia"/>
          <w:sz w:val="28"/>
          <w:szCs w:val="28"/>
          <w:lang w:val="en-US" w:eastAsia="zh-CN"/>
        </w:rPr>
        <w:br w:type="textWrapping"/>
      </w:r>
      <w:r>
        <w:rPr>
          <w:rFonts w:hint="eastAsia" w:asciiTheme="minorEastAsia" w:hAnsiTheme="minorEastAsia" w:cstheme="minorEastAsia"/>
          <w:sz w:val="28"/>
          <w:szCs w:val="28"/>
          <w:lang w:val="en-US" w:eastAsia="zh-CN"/>
        </w:rPr>
        <w:tab/>
      </w:r>
      <w:r>
        <w:rPr>
          <w:rFonts w:hint="default" w:asciiTheme="minorEastAsia" w:hAnsiTheme="minorEastAsia" w:eastAsiaTheme="minorEastAsia" w:cstheme="minorEastAsia"/>
          <w:sz w:val="28"/>
          <w:szCs w:val="28"/>
          <w:lang w:val="en-US" w:eastAsia="zh-CN"/>
        </w:rPr>
        <w:t xml:space="preserve">B.症状略有缓解 </w:t>
      </w:r>
      <w:r>
        <w:rPr>
          <w:rFonts w:hint="default" w:asciiTheme="minorEastAsia" w:hAnsiTheme="minorEastAsia" w:eastAsiaTheme="minorEastAsia" w:cstheme="minorEastAsia"/>
          <w:sz w:val="28"/>
          <w:szCs w:val="28"/>
          <w:lang w:val="en-US" w:eastAsia="zh-CN"/>
        </w:rPr>
        <w:br w:type="textWrapping"/>
      </w:r>
      <w:r>
        <w:rPr>
          <w:rFonts w:hint="eastAsia" w:asciiTheme="minorEastAsia" w:hAnsiTheme="minorEastAsia" w:cstheme="minorEastAsia"/>
          <w:sz w:val="28"/>
          <w:szCs w:val="28"/>
          <w:lang w:val="en-US" w:eastAsia="zh-CN"/>
        </w:rPr>
        <w:tab/>
      </w:r>
      <w:r>
        <w:rPr>
          <w:rFonts w:hint="default" w:asciiTheme="minorEastAsia" w:hAnsiTheme="minorEastAsia" w:eastAsiaTheme="minorEastAsia" w:cstheme="minorEastAsia"/>
          <w:sz w:val="28"/>
          <w:szCs w:val="28"/>
          <w:lang w:val="en-US" w:eastAsia="zh-CN"/>
        </w:rPr>
        <w:t>C.</w:t>
      </w:r>
      <w:r>
        <w:rPr>
          <w:rFonts w:hint="eastAsia" w:asciiTheme="minorEastAsia" w:hAnsiTheme="minorEastAsia" w:eastAsiaTheme="minorEastAsia" w:cstheme="minorEastAsia"/>
          <w:sz w:val="28"/>
          <w:szCs w:val="28"/>
          <w:lang w:val="en-US" w:eastAsia="zh-CN"/>
        </w:rPr>
        <w:t>未出现此症状</w:t>
      </w:r>
    </w:p>
    <w:p w14:paraId="2676B576">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在服用厄贝沙坦氢氯噻嗪片</w:t>
      </w:r>
      <w:r>
        <w:rPr>
          <w:rFonts w:hint="eastAsia" w:asciiTheme="minorEastAsia" w:hAnsiTheme="minorEastAsia" w:eastAsiaTheme="minorEastAsia" w:cstheme="minorEastAsia"/>
          <w:b/>
          <w:bCs/>
          <w:sz w:val="28"/>
          <w:szCs w:val="28"/>
          <w:lang w:val="en-US" w:eastAsia="zh-CN"/>
        </w:rPr>
        <w:t>治疗原发性高血压过程中</w:t>
      </w:r>
      <w:r>
        <w:rPr>
          <w:rFonts w:hint="default" w:asciiTheme="minorEastAsia" w:hAnsiTheme="minorEastAsia" w:eastAsiaTheme="minorEastAsia" w:cstheme="minorEastAsia"/>
          <w:b/>
          <w:bCs/>
          <w:sz w:val="28"/>
          <w:szCs w:val="28"/>
          <w:lang w:val="en-US" w:eastAsia="zh-CN"/>
        </w:rPr>
        <w:t>，您是否出现过以下可能与药物相关的不适症状？</w:t>
      </w:r>
    </w:p>
    <w:p w14:paraId="1DE8965B">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A.恶心、呕吐</w:t>
      </w:r>
    </w:p>
    <w:p w14:paraId="346C6065">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B.常见排尿异常</w:t>
      </w:r>
    </w:p>
    <w:p w14:paraId="228C7CD1">
      <w:pPr>
        <w:spacing w:line="360" w:lineRule="auto"/>
        <w:ind w:firstLine="420" w:firstLineChars="0"/>
        <w:rPr>
          <w:rFonts w:hint="default"/>
          <w:b w:val="0"/>
          <w:bCs w:val="0"/>
          <w:sz w:val="28"/>
          <w:szCs w:val="28"/>
          <w:lang w:val="en-US" w:eastAsia="zh-CN"/>
        </w:rPr>
      </w:pPr>
      <w:r>
        <w:rPr>
          <w:rFonts w:hint="default" w:asciiTheme="minorEastAsia" w:hAnsiTheme="minorEastAsia" w:eastAsiaTheme="minorEastAsia" w:cstheme="minorEastAsia"/>
          <w:sz w:val="28"/>
          <w:szCs w:val="28"/>
          <w:lang w:val="en-US" w:eastAsia="zh-CN"/>
        </w:rPr>
        <w:t>C.未出现任何明显不适</w:t>
      </w:r>
    </w:p>
    <w:p w14:paraId="4A444228">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血压得到控制后，您感觉自己的整体生活质量（如精神状态、体力、睡眠等）有何变化？</w:t>
      </w:r>
    </w:p>
    <w:p w14:paraId="29E10AD2">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A.明显提高，能更好地进行各种活动</w:t>
      </w:r>
    </w:p>
    <w:p w14:paraId="384C8E55">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B.有一定提高，日常生活基本不受影响</w:t>
      </w:r>
    </w:p>
    <w:p w14:paraId="53B746FB">
      <w:pPr>
        <w:spacing w:line="360" w:lineRule="auto"/>
        <w:ind w:firstLine="420" w:firstLineChars="0"/>
        <w:rPr>
          <w:rFonts w:hint="default"/>
          <w:b w:val="0"/>
          <w:bCs w:val="0"/>
          <w:sz w:val="28"/>
          <w:szCs w:val="28"/>
          <w:lang w:val="en-US" w:eastAsia="zh-CN"/>
        </w:rPr>
      </w:pPr>
      <w:r>
        <w:rPr>
          <w:rFonts w:hint="default" w:asciiTheme="minorEastAsia" w:hAnsiTheme="minorEastAsia" w:eastAsiaTheme="minorEastAsia" w:cstheme="minorEastAsia"/>
          <w:sz w:val="28"/>
          <w:szCs w:val="28"/>
          <w:lang w:val="en-US" w:eastAsia="zh-CN"/>
        </w:rPr>
        <w:t>C.影响不大，和用药前差不多</w:t>
      </w:r>
    </w:p>
    <w:p w14:paraId="6AF29BBC">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在用厄贝沙坦氢氯噻嗪片</w:t>
      </w:r>
      <w:r>
        <w:rPr>
          <w:rFonts w:hint="eastAsia" w:asciiTheme="minorEastAsia" w:hAnsiTheme="minorEastAsia" w:eastAsiaTheme="minorEastAsia" w:cstheme="minorEastAsia"/>
          <w:b/>
          <w:bCs/>
          <w:sz w:val="28"/>
          <w:szCs w:val="28"/>
          <w:lang w:val="en-US" w:eastAsia="zh-CN"/>
        </w:rPr>
        <w:t>治疗原发性高血压过程中，</w:t>
      </w:r>
      <w:r>
        <w:rPr>
          <w:rFonts w:hint="default" w:asciiTheme="minorEastAsia" w:hAnsiTheme="minorEastAsia" w:eastAsiaTheme="minorEastAsia" w:cstheme="minorEastAsia"/>
          <w:b/>
          <w:bCs/>
          <w:sz w:val="28"/>
          <w:szCs w:val="28"/>
          <w:lang w:val="en-US" w:eastAsia="zh-CN"/>
        </w:rPr>
        <w:t>饮食方面（如限盐），您目前的配合情况是？</w:t>
      </w:r>
    </w:p>
    <w:p w14:paraId="29D6EE18">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A.严格遵循低盐饮食</w:t>
      </w:r>
    </w:p>
    <w:p w14:paraId="5F672000">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B.大部分时间能做到低盐</w:t>
      </w:r>
    </w:p>
    <w:p w14:paraId="2BF5ABFD">
      <w:pPr>
        <w:spacing w:line="360" w:lineRule="auto"/>
        <w:ind w:firstLine="420" w:firstLineChars="0"/>
        <w:rPr>
          <w:rFonts w:hint="default"/>
          <w:b w:val="0"/>
          <w:bCs w:val="0"/>
          <w:sz w:val="28"/>
          <w:szCs w:val="28"/>
          <w:lang w:val="en-US" w:eastAsia="zh-CN"/>
        </w:rPr>
      </w:pPr>
      <w:r>
        <w:rPr>
          <w:rFonts w:hint="default" w:asciiTheme="minorEastAsia" w:hAnsiTheme="minorEastAsia" w:eastAsiaTheme="minorEastAsia" w:cstheme="minorEastAsia"/>
          <w:sz w:val="28"/>
          <w:szCs w:val="28"/>
          <w:lang w:val="en-US" w:eastAsia="zh-CN"/>
        </w:rPr>
        <w:t>C.偶尔注意，但很难坚持</w:t>
      </w:r>
    </w:p>
    <w:p w14:paraId="2076A551">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您在服用厄贝沙坦氢氯噻嗪片期间，最希望得到医生哪些方面的支持？</w:t>
      </w:r>
    </w:p>
    <w:p w14:paraId="7CAF20DA">
      <w:pPr>
        <w:spacing w:line="360" w:lineRule="auto"/>
        <w:ind w:left="420" w:leftChars="200" w:firstLine="0" w:firstLineChars="0"/>
        <w:rPr>
          <w:rFonts w:hint="default"/>
          <w:b w:val="0"/>
          <w:bCs w:val="0"/>
          <w:sz w:val="28"/>
          <w:szCs w:val="28"/>
          <w:lang w:val="en-US" w:eastAsia="zh-CN"/>
        </w:rPr>
      </w:pPr>
      <w:r>
        <w:rPr>
          <w:rFonts w:hint="default" w:asciiTheme="minorEastAsia" w:hAnsiTheme="minorEastAsia" w:eastAsiaTheme="minorEastAsia" w:cstheme="minorEastAsia"/>
          <w:sz w:val="28"/>
          <w:szCs w:val="28"/>
          <w:lang w:val="en-US" w:eastAsia="zh-CN"/>
        </w:rPr>
        <w:t xml:space="preserve">A. 定期血压监测指导 </w:t>
      </w:r>
      <w:r>
        <w:rPr>
          <w:rFonts w:hint="default" w:asciiTheme="minorEastAsia" w:hAnsiTheme="minorEastAsia" w:eastAsiaTheme="minorEastAsia" w:cstheme="minorEastAsia"/>
          <w:sz w:val="28"/>
          <w:szCs w:val="28"/>
          <w:lang w:val="en-US" w:eastAsia="zh-CN"/>
        </w:rPr>
        <w:br w:type="textWrapping"/>
      </w:r>
      <w:r>
        <w:rPr>
          <w:rFonts w:hint="default" w:asciiTheme="minorEastAsia" w:hAnsiTheme="minorEastAsia" w:eastAsiaTheme="minorEastAsia" w:cstheme="minorEastAsia"/>
          <w:sz w:val="28"/>
          <w:szCs w:val="28"/>
          <w:lang w:val="en-US" w:eastAsia="zh-CN"/>
        </w:rPr>
        <w:t xml:space="preserve">B. 用药剂量调整建议 </w:t>
      </w:r>
      <w:r>
        <w:rPr>
          <w:rFonts w:hint="default" w:asciiTheme="minorEastAsia" w:hAnsiTheme="minorEastAsia" w:eastAsiaTheme="minorEastAsia" w:cstheme="minorEastAsia"/>
          <w:sz w:val="28"/>
          <w:szCs w:val="28"/>
          <w:lang w:val="en-US" w:eastAsia="zh-CN"/>
        </w:rPr>
        <w:br w:type="textWrapping"/>
      </w:r>
      <w:r>
        <w:rPr>
          <w:rFonts w:hint="default" w:asciiTheme="minorEastAsia" w:hAnsiTheme="minorEastAsia" w:eastAsiaTheme="minorEastAsia" w:cstheme="minorEastAsia"/>
          <w:sz w:val="28"/>
          <w:szCs w:val="28"/>
          <w:lang w:val="en-US" w:eastAsia="zh-CN"/>
        </w:rPr>
        <w:t xml:space="preserve">C. 副作用应对方法 </w:t>
      </w:r>
    </w:p>
    <w:p w14:paraId="4D6791DA">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你是否会主动向医生反馈用药后的感受（包括疗效和不良反应）？</w:t>
      </w:r>
    </w:p>
    <w:p w14:paraId="451BBDAF">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A.</w:t>
      </w:r>
      <w:r>
        <w:rPr>
          <w:rFonts w:hint="default" w:asciiTheme="minorEastAsia" w:hAnsiTheme="minorEastAsia" w:eastAsiaTheme="minorEastAsia" w:cstheme="minorEastAsia"/>
          <w:sz w:val="28"/>
          <w:szCs w:val="28"/>
          <w:lang w:val="en-US" w:eastAsia="zh-CN"/>
        </w:rPr>
        <w:t xml:space="preserve">每次复诊都会详细反馈 </w:t>
      </w:r>
    </w:p>
    <w:p w14:paraId="3AE120CD">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B.</w:t>
      </w:r>
      <w:r>
        <w:rPr>
          <w:rFonts w:hint="default" w:asciiTheme="minorEastAsia" w:hAnsiTheme="minorEastAsia" w:eastAsiaTheme="minorEastAsia" w:cstheme="minorEastAsia"/>
          <w:sz w:val="28"/>
          <w:szCs w:val="28"/>
          <w:lang w:val="en-US" w:eastAsia="zh-CN"/>
        </w:rPr>
        <w:t xml:space="preserve">有明显不适或疗效不佳时会反馈 </w:t>
      </w:r>
    </w:p>
    <w:p w14:paraId="6FE145D5">
      <w:pPr>
        <w:spacing w:line="360" w:lineRule="auto"/>
        <w:ind w:firstLine="420" w:firstLineChars="0"/>
        <w:rPr>
          <w:rFonts w:hint="default"/>
          <w:b w:val="0"/>
          <w:bCs w:val="0"/>
          <w:sz w:val="28"/>
          <w:szCs w:val="28"/>
          <w:lang w:val="en-US" w:eastAsia="zh-CN"/>
        </w:rPr>
      </w:pPr>
      <w:r>
        <w:rPr>
          <w:rFonts w:hint="eastAsia" w:asciiTheme="minorEastAsia" w:hAnsiTheme="minorEastAsia" w:eastAsiaTheme="minorEastAsia" w:cstheme="minorEastAsia"/>
          <w:sz w:val="28"/>
          <w:szCs w:val="28"/>
          <w:lang w:val="en-US" w:eastAsia="zh-CN"/>
        </w:rPr>
        <w:t>C.</w:t>
      </w:r>
      <w:r>
        <w:rPr>
          <w:rFonts w:hint="default" w:asciiTheme="minorEastAsia" w:hAnsiTheme="minorEastAsia" w:eastAsiaTheme="minorEastAsia" w:cstheme="minorEastAsia"/>
          <w:sz w:val="28"/>
          <w:szCs w:val="28"/>
          <w:lang w:val="en-US" w:eastAsia="zh-CN"/>
        </w:rPr>
        <w:t xml:space="preserve">医生询问时才会反馈 </w:t>
      </w:r>
    </w:p>
    <w:p w14:paraId="33CC3986">
      <w:pPr>
        <w:keepNext w:val="0"/>
        <w:keepLines w:val="0"/>
        <w:pageBreakBefore w:val="0"/>
        <w:widowControl w:val="0"/>
        <w:numPr>
          <w:ilvl w:val="0"/>
          <w:numId w:val="9"/>
        </w:numPr>
        <w:kinsoku/>
        <w:wordWrap/>
        <w:overflowPunct/>
        <w:topLinePunct w:val="0"/>
        <w:autoSpaceDE/>
        <w:autoSpaceDN/>
        <w:bidi w:val="0"/>
        <w:adjustRightInd/>
        <w:snapToGrid/>
        <w:spacing w:line="500" w:lineRule="exact"/>
        <w:ind w:left="425" w:leftChars="0" w:hanging="425" w:firstLineChars="0"/>
        <w:textAlignment w:val="auto"/>
        <w:outlineLvl w:val="9"/>
        <w:rPr>
          <w:rFonts w:hint="default" w:asciiTheme="minorEastAsia" w:hAnsiTheme="minorEastAsia" w:eastAsiaTheme="minorEastAsia" w:cstheme="minorEastAsia"/>
          <w:b/>
          <w:bCs/>
          <w:sz w:val="28"/>
          <w:szCs w:val="28"/>
          <w:lang w:val="en-US" w:eastAsia="zh-CN"/>
        </w:rPr>
      </w:pPr>
      <w:r>
        <w:rPr>
          <w:rFonts w:hint="default" w:asciiTheme="minorEastAsia" w:hAnsiTheme="minorEastAsia" w:eastAsiaTheme="minorEastAsia" w:cstheme="minorEastAsia"/>
          <w:b/>
          <w:bCs/>
          <w:sz w:val="28"/>
          <w:szCs w:val="28"/>
          <w:lang w:val="en-US" w:eastAsia="zh-CN"/>
        </w:rPr>
        <w:t>您认为厄贝沙坦氢氯噻嗪片在哪个方面最需要改进？</w:t>
      </w:r>
    </w:p>
    <w:p w14:paraId="7F4B06BC">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A.进一步提高降压效果和稳定性</w:t>
      </w:r>
    </w:p>
    <w:p w14:paraId="1A47378B">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B.降低药品价格</w:t>
      </w:r>
    </w:p>
    <w:p w14:paraId="049FE758">
      <w:pPr>
        <w:spacing w:line="360" w:lineRule="auto"/>
        <w:ind w:firstLine="420" w:firstLineChars="0"/>
        <w:rPr>
          <w:rFonts w:hint="default" w:asciiTheme="minorEastAsia" w:hAnsiTheme="minorEastAsia" w:eastAsiaTheme="minorEastAsia" w:cstheme="minorEastAsia"/>
          <w:sz w:val="28"/>
          <w:szCs w:val="28"/>
          <w:lang w:val="en-US" w:eastAsia="zh-CN"/>
        </w:rPr>
      </w:pPr>
      <w:r>
        <w:rPr>
          <w:rFonts w:hint="default" w:asciiTheme="minorEastAsia" w:hAnsiTheme="minorEastAsia" w:eastAsiaTheme="minorEastAsia" w:cstheme="minorEastAsia"/>
          <w:sz w:val="28"/>
          <w:szCs w:val="28"/>
          <w:lang w:val="en-US" w:eastAsia="zh-CN"/>
        </w:rPr>
        <w:t>C.提供更多剂型选择</w:t>
      </w:r>
    </w:p>
    <w:p w14:paraId="7BDDFD3F">
      <w:pPr>
        <w:spacing w:line="360" w:lineRule="auto"/>
        <w:ind w:firstLine="420" w:firstLineChars="0"/>
        <w:rPr>
          <w:rFonts w:hint="default" w:asciiTheme="minorEastAsia" w:hAnsiTheme="minorEastAsia" w:eastAsiaTheme="minorEastAsia" w:cstheme="minorEastAsia"/>
          <w:sz w:val="28"/>
          <w:szCs w:val="28"/>
          <w:lang w:val="en-US" w:eastAsia="zh-CN"/>
        </w:rPr>
      </w:pPr>
    </w:p>
    <w:p w14:paraId="39D5ED39">
      <w:pPr>
        <w:spacing w:line="360" w:lineRule="auto"/>
        <w:ind w:firstLine="420" w:firstLineChars="0"/>
        <w:rPr>
          <w:rFonts w:hint="eastAsia" w:asciiTheme="minorEastAsia" w:hAnsiTheme="minorEastAsia" w:cstheme="minorEastAsia"/>
          <w:sz w:val="28"/>
          <w:szCs w:val="28"/>
          <w:lang w:eastAsia="zh-CN"/>
        </w:rPr>
      </w:pPr>
    </w:p>
    <w:p w14:paraId="57C34EAD">
      <w:pPr>
        <w:spacing w:line="360" w:lineRule="auto"/>
        <w:ind w:firstLine="420" w:firstLineChars="0"/>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思源黑体 CN Heavy">
    <w:altName w:val="黑体"/>
    <w:panose1 w:val="020B0A00000000000000"/>
    <w:charset w:val="86"/>
    <w:family w:val="auto"/>
    <w:pitch w:val="default"/>
    <w:sig w:usb0="00000000" w:usb1="00000000" w:usb2="00000016" w:usb3="00000000" w:csb0="60060107" w:csb1="00000000"/>
  </w:font>
  <w:font w:name="思源黑体 CN Medium">
    <w:altName w:val="黑体"/>
    <w:panose1 w:val="020B0600000000000000"/>
    <w:charset w:val="86"/>
    <w:family w:val="auto"/>
    <w:pitch w:val="default"/>
    <w:sig w:usb0="00000000" w:usb1="00000000" w:usb2="00000016" w:usb3="00000000" w:csb0="60060107" w:csb1="00000000"/>
  </w:font>
  <w:font w:name="KSOFDDF4E7ED">
    <w:panose1 w:val="020B0600000000000000"/>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E9554">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7" name="文本框 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016682">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WEWwzAgAAYwQAAA4AAABkcnMvZTJvRG9jLnhtbK1UzY7TMBC+I/EO&#10;lu80aRFL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37ymxDCNip++fzv9&#10;+HX6+ZXgDAI1LswQt3GIjO1b26JthvOAw8S7rbxOXzAi8EPe40Ve0UbC06XpZDrN4eLwDRvgZw/X&#10;nQ/xnbCaJKOgHvXrZGWH2xD70CEkZTN2LZXqaqgMaQp69fJV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WEWwzAgAAYwQAAA4AAAAAAAAAAQAgAAAAHwEAAGRycy9lMm9Eb2MueG1sUEsF&#10;BgAAAAAGAAYAWQEAAMQFAAAAAA==&#10;">
              <v:fill on="f" focussize="0,0"/>
              <v:stroke on="f" weight="0.5pt"/>
              <v:imagedata o:title=""/>
              <o:lock v:ext="edit" aspectratio="f"/>
              <v:textbox inset="0mm,0mm,0mm,0mm" style="mso-fit-shape-to-text:t;">
                <w:txbxContent>
                  <w:p w14:paraId="3C016682">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E0D07"/>
    <w:multiLevelType w:val="singleLevel"/>
    <w:tmpl w:val="80EE0D07"/>
    <w:lvl w:ilvl="0" w:tentative="0">
      <w:start w:val="1"/>
      <w:numFmt w:val="bullet"/>
      <w:lvlText w:val=""/>
      <w:lvlJc w:val="left"/>
      <w:pPr>
        <w:ind w:left="420" w:hanging="420"/>
      </w:pPr>
      <w:rPr>
        <w:rFonts w:hint="default" w:ascii="Wingdings" w:hAnsi="Wingdings"/>
        <w:color w:val="7AC146"/>
      </w:rPr>
    </w:lvl>
  </w:abstractNum>
  <w:abstractNum w:abstractNumId="1">
    <w:nsid w:val="81D7A5FA"/>
    <w:multiLevelType w:val="singleLevel"/>
    <w:tmpl w:val="81D7A5FA"/>
    <w:lvl w:ilvl="0" w:tentative="0">
      <w:start w:val="1"/>
      <w:numFmt w:val="upperLetter"/>
      <w:lvlText w:val="%1."/>
      <w:lvlJc w:val="left"/>
      <w:pPr>
        <w:tabs>
          <w:tab w:val="left" w:pos="397"/>
        </w:tabs>
        <w:ind w:left="340" w:leftChars="0" w:hanging="340" w:firstLineChars="0"/>
      </w:pPr>
      <w:rPr>
        <w:rFonts w:hint="default"/>
      </w:rPr>
    </w:lvl>
  </w:abstractNum>
  <w:abstractNum w:abstractNumId="2">
    <w:nsid w:val="C7AE7E07"/>
    <w:multiLevelType w:val="singleLevel"/>
    <w:tmpl w:val="C7AE7E07"/>
    <w:lvl w:ilvl="0" w:tentative="0">
      <w:start w:val="1"/>
      <w:numFmt w:val="chineseCounting"/>
      <w:suff w:val="nothing"/>
      <w:lvlText w:val="%1、"/>
      <w:lvlJc w:val="left"/>
      <w:pPr>
        <w:ind w:left="0" w:firstLine="420"/>
      </w:pPr>
      <w:rPr>
        <w:rFonts w:hint="eastAsia" w:ascii="宋体" w:hAnsi="宋体" w:eastAsia="宋体" w:cs="宋体"/>
        <w:b/>
        <w:bCs/>
        <w:color w:val="7AC146"/>
        <w:sz w:val="40"/>
        <w:szCs w:val="40"/>
      </w:rPr>
    </w:lvl>
  </w:abstractNum>
  <w:abstractNum w:abstractNumId="3">
    <w:nsid w:val="C869BB9A"/>
    <w:multiLevelType w:val="singleLevel"/>
    <w:tmpl w:val="C869BB9A"/>
    <w:lvl w:ilvl="0" w:tentative="0">
      <w:start w:val="1"/>
      <w:numFmt w:val="upperLetter"/>
      <w:lvlText w:val="%1."/>
      <w:lvlJc w:val="left"/>
      <w:pPr>
        <w:tabs>
          <w:tab w:val="left" w:pos="397"/>
        </w:tabs>
        <w:ind w:left="340" w:leftChars="0" w:hanging="340" w:firstLineChars="0"/>
      </w:pPr>
      <w:rPr>
        <w:rFonts w:hint="default"/>
      </w:rPr>
    </w:lvl>
  </w:abstractNum>
  <w:abstractNum w:abstractNumId="4">
    <w:nsid w:val="D29EA15C"/>
    <w:multiLevelType w:val="singleLevel"/>
    <w:tmpl w:val="D29EA15C"/>
    <w:lvl w:ilvl="0" w:tentative="0">
      <w:start w:val="1"/>
      <w:numFmt w:val="bullet"/>
      <w:lvlText w:val=""/>
      <w:lvlJc w:val="left"/>
      <w:pPr>
        <w:ind w:left="420" w:hanging="420"/>
      </w:pPr>
      <w:rPr>
        <w:rFonts w:hint="default" w:ascii="Wingdings" w:hAnsi="Wingdings"/>
        <w:color w:val="7AC146"/>
      </w:rPr>
    </w:lvl>
  </w:abstractNum>
  <w:abstractNum w:abstractNumId="5">
    <w:nsid w:val="EB21010D"/>
    <w:multiLevelType w:val="singleLevel"/>
    <w:tmpl w:val="EB21010D"/>
    <w:lvl w:ilvl="0" w:tentative="0">
      <w:start w:val="1"/>
      <w:numFmt w:val="bullet"/>
      <w:lvlText w:val=""/>
      <w:lvlJc w:val="left"/>
      <w:pPr>
        <w:ind w:left="420" w:hanging="420"/>
      </w:pPr>
      <w:rPr>
        <w:rFonts w:hint="default" w:ascii="Wingdings" w:hAnsi="Wingdings"/>
        <w:color w:val="7AC146"/>
      </w:rPr>
    </w:lvl>
  </w:abstractNum>
  <w:abstractNum w:abstractNumId="6">
    <w:nsid w:val="FA999576"/>
    <w:multiLevelType w:val="singleLevel"/>
    <w:tmpl w:val="FA999576"/>
    <w:lvl w:ilvl="0" w:tentative="0">
      <w:start w:val="1"/>
      <w:numFmt w:val="bullet"/>
      <w:lvlText w:val=""/>
      <w:lvlJc w:val="left"/>
      <w:pPr>
        <w:ind w:left="420" w:hanging="420"/>
      </w:pPr>
      <w:rPr>
        <w:rFonts w:hint="default" w:ascii="Wingdings" w:hAnsi="Wingdings"/>
        <w:color w:val="75BD42" w:themeColor="accent4"/>
        <w14:textFill>
          <w14:solidFill>
            <w14:schemeClr w14:val="accent4"/>
          </w14:solidFill>
        </w14:textFill>
      </w:rPr>
    </w:lvl>
  </w:abstractNum>
  <w:abstractNum w:abstractNumId="7">
    <w:nsid w:val="18DEA7C3"/>
    <w:multiLevelType w:val="singleLevel"/>
    <w:tmpl w:val="18DEA7C3"/>
    <w:lvl w:ilvl="0" w:tentative="0">
      <w:start w:val="1"/>
      <w:numFmt w:val="bullet"/>
      <w:lvlText w:val=""/>
      <w:lvlJc w:val="left"/>
      <w:pPr>
        <w:ind w:left="420" w:hanging="420"/>
      </w:pPr>
      <w:rPr>
        <w:rFonts w:hint="default" w:ascii="Wingdings" w:hAnsi="Wingdings"/>
        <w:color w:val="7AC146"/>
      </w:rPr>
    </w:lvl>
  </w:abstractNum>
  <w:abstractNum w:abstractNumId="8">
    <w:nsid w:val="1A5788A2"/>
    <w:multiLevelType w:val="singleLevel"/>
    <w:tmpl w:val="1A5788A2"/>
    <w:lvl w:ilvl="0" w:tentative="0">
      <w:start w:val="1"/>
      <w:numFmt w:val="bullet"/>
      <w:lvlText w:val=""/>
      <w:lvlJc w:val="left"/>
      <w:pPr>
        <w:ind w:left="420" w:hanging="420"/>
      </w:pPr>
      <w:rPr>
        <w:rFonts w:hint="default" w:ascii="Wingdings" w:hAnsi="Wingdings"/>
        <w:color w:val="7AC146"/>
      </w:rPr>
    </w:lvl>
  </w:abstractNum>
  <w:abstractNum w:abstractNumId="9">
    <w:nsid w:val="53C589EA"/>
    <w:multiLevelType w:val="singleLevel"/>
    <w:tmpl w:val="53C589EA"/>
    <w:lvl w:ilvl="0" w:tentative="0">
      <w:start w:val="1"/>
      <w:numFmt w:val="decimal"/>
      <w:lvlText w:val="%1."/>
      <w:lvlJc w:val="left"/>
      <w:pPr>
        <w:ind w:left="425" w:hanging="425"/>
      </w:pPr>
      <w:rPr>
        <w:rFonts w:hint="default"/>
      </w:rPr>
    </w:lvl>
  </w:abstractNum>
  <w:abstractNum w:abstractNumId="10">
    <w:nsid w:val="67F16259"/>
    <w:multiLevelType w:val="singleLevel"/>
    <w:tmpl w:val="67F16259"/>
    <w:lvl w:ilvl="0" w:tentative="0">
      <w:start w:val="1"/>
      <w:numFmt w:val="bullet"/>
      <w:lvlText w:val=""/>
      <w:lvlJc w:val="left"/>
      <w:pPr>
        <w:ind w:left="420" w:hanging="420"/>
      </w:pPr>
      <w:rPr>
        <w:rFonts w:hint="default" w:ascii="Wingdings" w:hAnsi="Wingdings"/>
        <w:color w:val="7AC146"/>
      </w:rPr>
    </w:lvl>
  </w:abstractNum>
  <w:num w:numId="1">
    <w:abstractNumId w:val="2"/>
  </w:num>
  <w:num w:numId="2">
    <w:abstractNumId w:val="6"/>
  </w:num>
  <w:num w:numId="3">
    <w:abstractNumId w:val="7"/>
  </w:num>
  <w:num w:numId="4">
    <w:abstractNumId w:val="10"/>
  </w:num>
  <w:num w:numId="5">
    <w:abstractNumId w:val="5"/>
  </w:num>
  <w:num w:numId="6">
    <w:abstractNumId w:val="4"/>
  </w:num>
  <w:num w:numId="7">
    <w:abstractNumId w:val="8"/>
  </w:num>
  <w:num w:numId="8">
    <w:abstractNumId w:val="0"/>
  </w:num>
  <w:num w:numId="9">
    <w:abstractNumId w:val="9"/>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3A5368"/>
    <w:rsid w:val="013E79EA"/>
    <w:rsid w:val="01626374"/>
    <w:rsid w:val="019404F8"/>
    <w:rsid w:val="019D36F3"/>
    <w:rsid w:val="0501241F"/>
    <w:rsid w:val="056B4F45"/>
    <w:rsid w:val="05E05ABA"/>
    <w:rsid w:val="06031CF6"/>
    <w:rsid w:val="06345BBB"/>
    <w:rsid w:val="06A116ED"/>
    <w:rsid w:val="080011E4"/>
    <w:rsid w:val="09294CA2"/>
    <w:rsid w:val="09371E95"/>
    <w:rsid w:val="099217C1"/>
    <w:rsid w:val="09D122E9"/>
    <w:rsid w:val="0AE50463"/>
    <w:rsid w:val="0BDC0CB8"/>
    <w:rsid w:val="0C9763FB"/>
    <w:rsid w:val="0CAA6628"/>
    <w:rsid w:val="0CBB74C0"/>
    <w:rsid w:val="0D1C407A"/>
    <w:rsid w:val="0D2E26EB"/>
    <w:rsid w:val="0D71793F"/>
    <w:rsid w:val="0D8768D3"/>
    <w:rsid w:val="0E681446"/>
    <w:rsid w:val="0EAE6622"/>
    <w:rsid w:val="11B06239"/>
    <w:rsid w:val="12350842"/>
    <w:rsid w:val="12AB744F"/>
    <w:rsid w:val="139433C6"/>
    <w:rsid w:val="13AA5959"/>
    <w:rsid w:val="143B433C"/>
    <w:rsid w:val="14D42C8D"/>
    <w:rsid w:val="150F1215"/>
    <w:rsid w:val="1527507F"/>
    <w:rsid w:val="160E6673"/>
    <w:rsid w:val="161E306E"/>
    <w:rsid w:val="16F94C2D"/>
    <w:rsid w:val="17620A24"/>
    <w:rsid w:val="17B434DC"/>
    <w:rsid w:val="18504D21"/>
    <w:rsid w:val="195720DF"/>
    <w:rsid w:val="1A240213"/>
    <w:rsid w:val="1BAB1AAC"/>
    <w:rsid w:val="1C850D11"/>
    <w:rsid w:val="1E2F7187"/>
    <w:rsid w:val="1E9E60BA"/>
    <w:rsid w:val="21C31964"/>
    <w:rsid w:val="22A719E1"/>
    <w:rsid w:val="22D41094"/>
    <w:rsid w:val="22E907A2"/>
    <w:rsid w:val="231A06FF"/>
    <w:rsid w:val="23BF3B72"/>
    <w:rsid w:val="2531638A"/>
    <w:rsid w:val="263A5368"/>
    <w:rsid w:val="26B66697"/>
    <w:rsid w:val="26CC5EBA"/>
    <w:rsid w:val="270A586B"/>
    <w:rsid w:val="274F2647"/>
    <w:rsid w:val="2758774E"/>
    <w:rsid w:val="28E1022D"/>
    <w:rsid w:val="2A102562"/>
    <w:rsid w:val="2A4144C9"/>
    <w:rsid w:val="2A481CFC"/>
    <w:rsid w:val="2A5341FD"/>
    <w:rsid w:val="2D3E6688"/>
    <w:rsid w:val="2E39057F"/>
    <w:rsid w:val="2E7A61FC"/>
    <w:rsid w:val="2FD45DE0"/>
    <w:rsid w:val="31376626"/>
    <w:rsid w:val="321B2412"/>
    <w:rsid w:val="331D35FA"/>
    <w:rsid w:val="348953EB"/>
    <w:rsid w:val="369B73AF"/>
    <w:rsid w:val="36C24BE4"/>
    <w:rsid w:val="37BA58BB"/>
    <w:rsid w:val="380A6843"/>
    <w:rsid w:val="384F6612"/>
    <w:rsid w:val="38AC5B60"/>
    <w:rsid w:val="38B247E4"/>
    <w:rsid w:val="3A4662B6"/>
    <w:rsid w:val="3ABC7B9C"/>
    <w:rsid w:val="3B616DC6"/>
    <w:rsid w:val="3CC35212"/>
    <w:rsid w:val="3D020556"/>
    <w:rsid w:val="3D8F1598"/>
    <w:rsid w:val="3E077380"/>
    <w:rsid w:val="3F453540"/>
    <w:rsid w:val="3F561804"/>
    <w:rsid w:val="413C5987"/>
    <w:rsid w:val="4195368F"/>
    <w:rsid w:val="431247FD"/>
    <w:rsid w:val="435D471E"/>
    <w:rsid w:val="44E4041B"/>
    <w:rsid w:val="472E597E"/>
    <w:rsid w:val="47AF6ABF"/>
    <w:rsid w:val="47EC2D55"/>
    <w:rsid w:val="48B33CE8"/>
    <w:rsid w:val="48E704DA"/>
    <w:rsid w:val="49E901DB"/>
    <w:rsid w:val="4AFB730A"/>
    <w:rsid w:val="4B047121"/>
    <w:rsid w:val="4B245A16"/>
    <w:rsid w:val="4C837D3D"/>
    <w:rsid w:val="4D223E31"/>
    <w:rsid w:val="4E372EB3"/>
    <w:rsid w:val="500741C5"/>
    <w:rsid w:val="510401C7"/>
    <w:rsid w:val="5164091A"/>
    <w:rsid w:val="554C191F"/>
    <w:rsid w:val="563034C0"/>
    <w:rsid w:val="566D41FE"/>
    <w:rsid w:val="580F5357"/>
    <w:rsid w:val="59653481"/>
    <w:rsid w:val="59F111B9"/>
    <w:rsid w:val="5BED37EE"/>
    <w:rsid w:val="5CA63938"/>
    <w:rsid w:val="5EAE1426"/>
    <w:rsid w:val="60213E7A"/>
    <w:rsid w:val="606D6F36"/>
    <w:rsid w:val="60C1782B"/>
    <w:rsid w:val="61236B8D"/>
    <w:rsid w:val="61915DCF"/>
    <w:rsid w:val="624F1172"/>
    <w:rsid w:val="62F05BE0"/>
    <w:rsid w:val="63252157"/>
    <w:rsid w:val="63442359"/>
    <w:rsid w:val="63482BFD"/>
    <w:rsid w:val="65856C59"/>
    <w:rsid w:val="65BD759E"/>
    <w:rsid w:val="688B0524"/>
    <w:rsid w:val="689510AD"/>
    <w:rsid w:val="68A37B22"/>
    <w:rsid w:val="69020CEC"/>
    <w:rsid w:val="6AE52674"/>
    <w:rsid w:val="6AEA7C8A"/>
    <w:rsid w:val="6CA659FF"/>
    <w:rsid w:val="6CF01952"/>
    <w:rsid w:val="6D5C347A"/>
    <w:rsid w:val="6E4B2F23"/>
    <w:rsid w:val="6EB321F9"/>
    <w:rsid w:val="6EF56BFD"/>
    <w:rsid w:val="6F20011E"/>
    <w:rsid w:val="71107D1F"/>
    <w:rsid w:val="715068C6"/>
    <w:rsid w:val="7270316B"/>
    <w:rsid w:val="74681C20"/>
    <w:rsid w:val="746E36DA"/>
    <w:rsid w:val="74DD3B22"/>
    <w:rsid w:val="758F430C"/>
    <w:rsid w:val="76085468"/>
    <w:rsid w:val="77C655DB"/>
    <w:rsid w:val="79A96F62"/>
    <w:rsid w:val="7A9B5E53"/>
    <w:rsid w:val="7AEA15E0"/>
    <w:rsid w:val="7B2F16E9"/>
    <w:rsid w:val="7EA72F68"/>
    <w:rsid w:val="7F794C47"/>
    <w:rsid w:val="7F983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微软雅黑" w:cs="宋体"/>
      <w:b/>
      <w:bCs/>
      <w:kern w:val="0"/>
      <w:sz w:val="36"/>
      <w:szCs w:val="36"/>
      <w:lang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chart" Target="charts/chart4.xml"/><Relationship Id="rId8" Type="http://schemas.openxmlformats.org/officeDocument/2006/relationships/chart" Target="charts/chart3.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chart" Target="charts/chart11.xml"/><Relationship Id="rId15" Type="http://schemas.openxmlformats.org/officeDocument/2006/relationships/chart" Target="charts/chart10.xml"/><Relationship Id="rId14" Type="http://schemas.openxmlformats.org/officeDocument/2006/relationships/chart" Target="charts/chart9.xml"/><Relationship Id="rId13" Type="http://schemas.openxmlformats.org/officeDocument/2006/relationships/chart" Target="charts/chart8.xml"/><Relationship Id="rId12" Type="http://schemas.openxmlformats.org/officeDocument/2006/relationships/chart" Target="charts/chart7.xml"/><Relationship Id="rId11" Type="http://schemas.openxmlformats.org/officeDocument/2006/relationships/chart" Target="charts/chart6.xml"/><Relationship Id="rId10" Type="http://schemas.openxmlformats.org/officeDocument/2006/relationships/chart" Target="charts/chart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package" Target="../embeddings/Workbook8.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package" Target="../embeddings/Workbook3.xlsx"/></Relationships>
</file>

<file path=word/charts/_rels/chart5.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Workbook4.xlsx"/></Relationships>
</file>

<file path=word/charts/_rels/chart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6.xlsx"/></Relationships>
</file>

<file path=word/charts/_rels/chart7.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package" Target="../embeddings/Workbook5.xlsx"/></Relationships>
</file>

<file path=word/charts/_rels/chart8.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package" Target="../embeddings/Workbook7.xlsx"/></Relationships>
</file>

<file path=word/charts/_rels/chart9.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package" Target="../embeddings/Workbook9.xlsx"/></Relationships>
</file>

<file path=word/charts/_rels/chart10.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package" Target="../embeddings/Workbook10.xlsx"/></Relationships>
</file>

<file path=word/charts/_rels/chart11.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package" Target="../embeddings/Workbook1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55738100990577"/>
          <c:y val="0.0489215032243718"/>
          <c:w val="0.680466296206813"/>
          <c:h val="0.843540137869691"/>
        </c:manualLayout>
      </c:layout>
      <c:barChart>
        <c:barDir val="bar"/>
        <c:grouping val="clustered"/>
        <c:varyColors val="0"/>
        <c:ser>
          <c:idx val="0"/>
          <c:order val="0"/>
          <c:tx>
            <c:strRef>
              <c:f>Sheet1!$B$1</c:f>
              <c:strCache>
                <c:ptCount val="1"/>
                <c:pt idx="0">
                  <c:v>A.1 年以内</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0.26</c:v>
                </c:pt>
              </c:numCache>
            </c:numRef>
          </c:val>
        </c:ser>
        <c:ser>
          <c:idx val="1"/>
          <c:order val="1"/>
          <c:tx>
            <c:strRef>
              <c:f>Sheet1!$C$1</c:f>
              <c:strCache>
                <c:ptCount val="1"/>
                <c:pt idx="0">
                  <c:v>B.1-3年</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0.49</c:v>
                </c:pt>
              </c:numCache>
            </c:numRef>
          </c:val>
        </c:ser>
        <c:ser>
          <c:idx val="2"/>
          <c:order val="2"/>
          <c:tx>
            <c:strRef>
              <c:f>Sheet1!$D$1</c:f>
              <c:strCache>
                <c:ptCount val="1"/>
                <c:pt idx="0">
                  <c:v>C.3年以上</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0.25</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766006281710558"/>
          <c:y val="0.114965532577274"/>
          <c:w val="0.219497463155352"/>
          <c:h val="0.72270402490549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14cff56-4277-4f3d-8bd0-f7f8cc67b091}"/>
      </c:ext>
    </c:extLst>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52194300829626"/>
          <c:y val="0.0536323744514871"/>
          <c:w val="0.604532884453529"/>
          <c:h val="0.828473915163335"/>
        </c:manualLayout>
      </c:layout>
      <c:barChart>
        <c:barDir val="bar"/>
        <c:grouping val="clustered"/>
        <c:varyColors val="0"/>
        <c:ser>
          <c:idx val="0"/>
          <c:order val="0"/>
          <c:tx>
            <c:strRef>
              <c:f>Sheet1!$B$1</c:f>
              <c:strCache>
                <c:ptCount val="1"/>
                <c:pt idx="0">
                  <c:v>A.医生首次诊断后推荐</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0.46</c:v>
                </c:pt>
              </c:numCache>
            </c:numRef>
          </c:val>
        </c:ser>
        <c:ser>
          <c:idx val="1"/>
          <c:order val="1"/>
          <c:tx>
            <c:strRef>
              <c:f>Sheet1!$C$1</c:f>
              <c:strCache>
                <c:ptCount val="1"/>
                <c:pt idx="0">
                  <c:v>B.之前服用其他降压药效果不佳，医生调整用药</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0.36</c:v>
                </c:pt>
              </c:numCache>
            </c:numRef>
          </c:val>
        </c:ser>
        <c:ser>
          <c:idx val="2"/>
          <c:order val="2"/>
          <c:tx>
            <c:strRef>
              <c:f>Sheet1!$D$1</c:f>
              <c:strCache>
                <c:ptCount val="1"/>
                <c:pt idx="0">
                  <c:v>C.亲友推荐后经医生评估同意</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0.18</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703498857761212"/>
          <c:y val="0.0962944904924427"/>
          <c:w val="0.26055067933149"/>
          <c:h val="0.779619697708435"/>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0516fb-ee9b-4548-84ea-c61abdbeb398}"/>
      </c:ext>
    </c:extLst>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40793368857312"/>
          <c:y val="0.0518012714857546"/>
          <c:w val="0.593001776198934"/>
          <c:h val="0.834330115375559"/>
        </c:manualLayout>
      </c:layout>
      <c:barChart>
        <c:barDir val="bar"/>
        <c:grouping val="clustered"/>
        <c:varyColors val="0"/>
        <c:ser>
          <c:idx val="0"/>
          <c:order val="0"/>
          <c:tx>
            <c:strRef>
              <c:f>Sheet1!$B$1</c:f>
              <c:strCache>
                <c:ptCount val="1"/>
                <c:pt idx="0">
                  <c:v>A.完全规律</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0.61</c:v>
                </c:pt>
              </c:numCache>
            </c:numRef>
          </c:val>
        </c:ser>
        <c:ser>
          <c:idx val="1"/>
          <c:order val="1"/>
          <c:tx>
            <c:strRef>
              <c:f>Sheet1!$C$1</c:f>
              <c:strCache>
                <c:ptCount val="1"/>
                <c:pt idx="0">
                  <c:v>B.偶尔漏服（每周≤1 次）</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0.2</c:v>
                </c:pt>
              </c:numCache>
            </c:numRef>
          </c:val>
        </c:ser>
        <c:ser>
          <c:idx val="2"/>
          <c:order val="2"/>
          <c:tx>
            <c:strRef>
              <c:f>Sheet1!$D$1</c:f>
              <c:strCache>
                <c:ptCount val="1"/>
                <c:pt idx="0">
                  <c:v>C.经常漏服（每周2-3次）</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0.19</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726228537596211"/>
          <c:y val="0.0567459383093949"/>
          <c:w val="0.259325044404973"/>
          <c:h val="0.81798916882505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0516fb-ee9b-4548-84ea-c61abdbeb398}"/>
      </c:ext>
    </c:extLst>
  </c:chart>
  <c:spPr>
    <a:noFill/>
    <a:ln w="9525" cap="flat" cmpd="sng" algn="ctr">
      <a:no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46450304259635"/>
          <c:y val="0.0502397807718657"/>
          <c:w val="0.654683212027204"/>
          <c:h val="0.839324046585979"/>
        </c:manualLayout>
      </c:layout>
      <c:barChart>
        <c:barDir val="bar"/>
        <c:grouping val="clustered"/>
        <c:varyColors val="0"/>
        <c:ser>
          <c:idx val="0"/>
          <c:order val="0"/>
          <c:tx>
            <c:strRef>
              <c:f>Sheet1!$B$1</c:f>
              <c:strCache>
                <c:ptCount val="1"/>
                <c:pt idx="0">
                  <c:v>A.控制良好</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0.48</c:v>
                </c:pt>
              </c:numCache>
            </c:numRef>
          </c:val>
        </c:ser>
        <c:ser>
          <c:idx val="1"/>
          <c:order val="1"/>
          <c:tx>
            <c:strRef>
              <c:f>Sheet1!$C$1</c:f>
              <c:strCache>
                <c:ptCount val="1"/>
                <c:pt idx="0">
                  <c:v>B.基本控制</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0.47</c:v>
                </c:pt>
              </c:numCache>
            </c:numRef>
          </c:val>
        </c:ser>
        <c:ser>
          <c:idx val="2"/>
          <c:order val="2"/>
          <c:tx>
            <c:strRef>
              <c:f>Sheet1!$D$1</c:f>
              <c:strCache>
                <c:ptCount val="1"/>
                <c:pt idx="0">
                  <c:v>C.控制不佳</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0.05</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774012647655411"/>
          <c:y val="0.0753596711577986"/>
          <c:w val="0.211549934375373"/>
          <c:h val="0.816168074902946"/>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0516fb-ee9b-4548-84ea-c61abdbeb398}"/>
      </c:ext>
    </c:extLst>
  </c:chart>
  <c:spPr>
    <a:noFill/>
    <a:ln w="9525" cap="flat" cmpd="sng" algn="ctr">
      <a:no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51290981145671"/>
          <c:y val="0.0489541611036938"/>
          <c:w val="0.666374444577879"/>
          <c:h val="0.843435692033823"/>
        </c:manualLayout>
      </c:layout>
      <c:barChart>
        <c:barDir val="bar"/>
        <c:grouping val="clustered"/>
        <c:varyColors val="0"/>
        <c:ser>
          <c:idx val="0"/>
          <c:order val="0"/>
          <c:tx>
            <c:strRef>
              <c:f>Sheet1!$B$1</c:f>
              <c:strCache>
                <c:ptCount val="1"/>
                <c:pt idx="0">
                  <c:v>A.症状明显减轻</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0.52</c:v>
                </c:pt>
              </c:numCache>
            </c:numRef>
          </c:val>
        </c:ser>
        <c:ser>
          <c:idx val="1"/>
          <c:order val="1"/>
          <c:tx>
            <c:strRef>
              <c:f>Sheet1!$C$1</c:f>
              <c:strCache>
                <c:ptCount val="1"/>
                <c:pt idx="0">
                  <c:v>B.症状略有缓解</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0.41</c:v>
                </c:pt>
              </c:numCache>
            </c:numRef>
          </c:val>
        </c:ser>
        <c:ser>
          <c:idx val="2"/>
          <c:order val="2"/>
          <c:tx>
            <c:strRef>
              <c:f>Sheet1!$D$1</c:f>
              <c:strCache>
                <c:ptCount val="1"/>
                <c:pt idx="0">
                  <c:v>C.未出现此症状</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0.07</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749009247027741"/>
          <c:y val="0.0651980418335558"/>
          <c:w val="0.236459709379128"/>
          <c:h val="0.826212728081887"/>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0516fb-ee9b-4548-84ea-c61abdbeb398}"/>
      </c:ext>
    </c:extLst>
  </c:chart>
  <c:spPr>
    <a:noFill/>
    <a:ln w="9525" cap="flat" cmpd="sng" algn="ctr">
      <a:no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47252747252747"/>
          <c:y val="0.0504471451501949"/>
          <c:w val="0.590647396082179"/>
          <c:h val="0.838660857601468"/>
        </c:manualLayout>
      </c:layout>
      <c:barChart>
        <c:barDir val="bar"/>
        <c:grouping val="clustered"/>
        <c:varyColors val="0"/>
        <c:ser>
          <c:idx val="0"/>
          <c:order val="0"/>
          <c:tx>
            <c:strRef>
              <c:f>Sheet1!$B$1</c:f>
              <c:strCache>
                <c:ptCount val="1"/>
                <c:pt idx="0">
                  <c:v>A.恶心、呕吐</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0.07</c:v>
                </c:pt>
              </c:numCache>
            </c:numRef>
          </c:val>
        </c:ser>
        <c:ser>
          <c:idx val="1"/>
          <c:order val="1"/>
          <c:tx>
            <c:strRef>
              <c:f>Sheet1!$C$1</c:f>
              <c:strCache>
                <c:ptCount val="1"/>
                <c:pt idx="0">
                  <c:v>B.常见排尿异常</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0.15</c:v>
                </c:pt>
              </c:numCache>
            </c:numRef>
          </c:val>
        </c:ser>
        <c:ser>
          <c:idx val="2"/>
          <c:order val="2"/>
          <c:tx>
            <c:strRef>
              <c:f>Sheet1!$D$1</c:f>
              <c:strCache>
                <c:ptCount val="1"/>
                <c:pt idx="0">
                  <c:v>C.未出现任何明显不适</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0.78</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74247491638796"/>
          <c:y val="0.0495299243292823"/>
          <c:w val="0.243072145246058"/>
          <c:h val="0.84200871359779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0516fb-ee9b-4548-84ea-c61abdbeb398}"/>
      </c:ext>
    </c:extLst>
  </c:chart>
  <c:spPr>
    <a:noFill/>
    <a:ln w="9525" cap="flat" cmpd="sng" algn="ctr">
      <a:no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47967479674797"/>
          <c:y val="0.0508552935737402"/>
          <c:w val="0.596233859397417"/>
          <c:h val="0.837355524734166"/>
        </c:manualLayout>
      </c:layout>
      <c:barChart>
        <c:barDir val="bar"/>
        <c:grouping val="clustered"/>
        <c:varyColors val="0"/>
        <c:ser>
          <c:idx val="0"/>
          <c:order val="0"/>
          <c:tx>
            <c:strRef>
              <c:f>Sheet1!$B$1</c:f>
              <c:strCache>
                <c:ptCount val="1"/>
                <c:pt idx="0">
                  <c:v>A.明显提高，能更好地进行各种活动</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0.54</c:v>
                </c:pt>
              </c:numCache>
            </c:numRef>
          </c:val>
        </c:ser>
        <c:ser>
          <c:idx val="1"/>
          <c:order val="1"/>
          <c:tx>
            <c:strRef>
              <c:f>Sheet1!$C$1</c:f>
              <c:strCache>
                <c:ptCount val="1"/>
                <c:pt idx="0">
                  <c:v>B.有一定提高，日常生活基本不受影响</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0.29</c:v>
                </c:pt>
              </c:numCache>
            </c:numRef>
          </c:val>
        </c:ser>
        <c:ser>
          <c:idx val="2"/>
          <c:order val="2"/>
          <c:tx>
            <c:strRef>
              <c:f>Sheet1!$D$1</c:f>
              <c:strCache>
                <c:ptCount val="1"/>
                <c:pt idx="0">
                  <c:v>C.影响不大，和用药前差不多</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0.17</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71078431372549"/>
          <c:y val="0.0950069348127601"/>
          <c:w val="0.266499282639885"/>
          <c:h val="0.798659269533056"/>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0516fb-ee9b-4548-84ea-c61abdbeb398}"/>
      </c:ext>
    </c:extLst>
  </c:chart>
  <c:spPr>
    <a:noFill/>
    <a:ln w="9525" cap="flat" cmpd="sng" algn="ctr">
      <a:no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52827918170878"/>
          <c:y val="0.0503663003663004"/>
          <c:w val="0.588796630565584"/>
          <c:h val="0.838919413919414"/>
        </c:manualLayout>
      </c:layout>
      <c:barChart>
        <c:barDir val="bar"/>
        <c:grouping val="clustered"/>
        <c:varyColors val="0"/>
        <c:ser>
          <c:idx val="0"/>
          <c:order val="0"/>
          <c:tx>
            <c:strRef>
              <c:f>Sheet1!$B$1</c:f>
              <c:strCache>
                <c:ptCount val="1"/>
                <c:pt idx="0">
                  <c:v>A.严格遵循低盐饮食</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0.73</c:v>
                </c:pt>
              </c:numCache>
            </c:numRef>
          </c:val>
        </c:ser>
        <c:ser>
          <c:idx val="1"/>
          <c:order val="1"/>
          <c:tx>
            <c:strRef>
              <c:f>Sheet1!$C$1</c:f>
              <c:strCache>
                <c:ptCount val="1"/>
                <c:pt idx="0">
                  <c:v>B.大部分时间能做到低盐</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0.14</c:v>
                </c:pt>
              </c:numCache>
            </c:numRef>
          </c:val>
        </c:ser>
        <c:ser>
          <c:idx val="2"/>
          <c:order val="2"/>
          <c:tx>
            <c:strRef>
              <c:f>Sheet1!$D$1</c:f>
              <c:strCache>
                <c:ptCount val="1"/>
                <c:pt idx="0">
                  <c:v>C.偶尔注意，但很难坚持</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0.13</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667749699157641"/>
          <c:y val="0.0428113553113553"/>
          <c:w val="0.317809867629362"/>
          <c:h val="0.848672161172161"/>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0516fb-ee9b-4548-84ea-c61abdbeb398}"/>
      </c:ext>
    </c:extLst>
  </c:chart>
  <c:spPr>
    <a:noFill/>
    <a:ln w="9525" cap="flat" cmpd="sng" algn="ctr">
      <a:no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40793368857312"/>
          <c:y val="0.0519235308000944"/>
          <c:w val="0.611829484902309"/>
          <c:h val="0.833939107859334"/>
        </c:manualLayout>
      </c:layout>
      <c:barChart>
        <c:barDir val="bar"/>
        <c:grouping val="clustered"/>
        <c:varyColors val="0"/>
        <c:ser>
          <c:idx val="0"/>
          <c:order val="0"/>
          <c:tx>
            <c:strRef>
              <c:f>Sheet1!$B$1</c:f>
              <c:strCache>
                <c:ptCount val="1"/>
                <c:pt idx="0">
                  <c:v>A.定期血压监测指导</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0.17</c:v>
                </c:pt>
              </c:numCache>
            </c:numRef>
          </c:val>
        </c:ser>
        <c:ser>
          <c:idx val="1"/>
          <c:order val="1"/>
          <c:tx>
            <c:strRef>
              <c:f>Sheet1!$C$1</c:f>
              <c:strCache>
                <c:ptCount val="1"/>
                <c:pt idx="0">
                  <c:v>B.用药剂量调整建议</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0.61</c:v>
                </c:pt>
              </c:numCache>
            </c:numRef>
          </c:val>
        </c:ser>
        <c:ser>
          <c:idx val="2"/>
          <c:order val="2"/>
          <c:tx>
            <c:strRef>
              <c:f>Sheet1!$D$1</c:f>
              <c:strCache>
                <c:ptCount val="1"/>
                <c:pt idx="0">
                  <c:v>C.副作用应对方法</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0.22</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702782711663706"/>
          <c:y val="0.0405947604437102"/>
          <c:w val="0.281468324452339"/>
          <c:h val="0.848477696483361"/>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0516fb-ee9b-4548-84ea-c61abdbeb398}"/>
      </c:ext>
    </c:extLst>
  </c:chart>
  <c:spPr>
    <a:noFill/>
    <a:ln w="9525" cap="flat" cmpd="sng" algn="ctr">
      <a:no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40793368857312"/>
          <c:y val="0.0549039181432493"/>
          <c:w val="0.52882178804026"/>
          <c:h val="0.824407287247317"/>
        </c:manualLayout>
      </c:layout>
      <c:barChart>
        <c:barDir val="bar"/>
        <c:grouping val="clustered"/>
        <c:varyColors val="0"/>
        <c:ser>
          <c:idx val="0"/>
          <c:order val="0"/>
          <c:tx>
            <c:strRef>
              <c:f>Sheet1!$B$1</c:f>
              <c:strCache>
                <c:ptCount val="1"/>
                <c:pt idx="0">
                  <c:v>A.每次复诊都会详细反馈</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0.48</c:v>
                </c:pt>
              </c:numCache>
            </c:numRef>
          </c:val>
        </c:ser>
        <c:ser>
          <c:idx val="1"/>
          <c:order val="1"/>
          <c:tx>
            <c:strRef>
              <c:f>Sheet1!$C$1</c:f>
              <c:strCache>
                <c:ptCount val="1"/>
                <c:pt idx="0">
                  <c:v>B.有明显不适或疗效不佳时会反馈</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0.27</c:v>
                </c:pt>
              </c:numCache>
            </c:numRef>
          </c:val>
        </c:ser>
        <c:ser>
          <c:idx val="2"/>
          <c:order val="2"/>
          <c:tx>
            <c:strRef>
              <c:f>Sheet1!$D$1</c:f>
              <c:strCache>
                <c:ptCount val="1"/>
                <c:pt idx="0">
                  <c:v>C.医生询问时才会反馈</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0.25</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650917702782712"/>
          <c:y val="0.101073122036436"/>
          <c:w val="0.334635879218472"/>
          <c:h val="0.769403543798353"/>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0516fb-ee9b-4548-84ea-c61abdbeb398}"/>
      </c:ext>
    </c:extLst>
  </c:chart>
  <c:spPr>
    <a:noFill/>
    <a:ln w="9525" cap="flat" cmpd="sng" algn="ctr">
      <a:no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manualLayout>
          <c:layoutTarget val="inner"/>
          <c:xMode val="edge"/>
          <c:yMode val="edge"/>
          <c:x val="0.0740793368857312"/>
          <c:y val="0.0549039181432493"/>
          <c:w val="0.530005920663114"/>
          <c:h val="0.824407287247317"/>
        </c:manualLayout>
      </c:layout>
      <c:barChart>
        <c:barDir val="bar"/>
        <c:grouping val="clustered"/>
        <c:varyColors val="0"/>
        <c:ser>
          <c:idx val="0"/>
          <c:order val="0"/>
          <c:tx>
            <c:strRef>
              <c:f>Sheet1!$B$1</c:f>
              <c:strCache>
                <c:ptCount val="1"/>
                <c:pt idx="0">
                  <c:v>A.进一步提高降压效果和稳定性</c:v>
                </c:pt>
              </c:strCache>
            </c:strRef>
          </c:tx>
          <c:spPr>
            <a:gradFill>
              <a:gsLst>
                <a:gs pos="100000">
                  <a:schemeClr val="accent4">
                    <a:shade val="65000"/>
                  </a:schemeClr>
                </a:gs>
                <a:gs pos="0">
                  <a:schemeClr val="accent4">
                    <a:shade val="65000"/>
                    <a:hueOff val="-1670000"/>
                  </a:schemeClr>
                </a:gs>
              </a:gsLst>
              <a:lin ang="10800000" scaled="0"/>
            </a:gradFill>
            <a:ln>
              <a:gradFill>
                <a:gsLst>
                  <a:gs pos="100000">
                    <a:schemeClr val="accent4">
                      <a:shade val="65000"/>
                      <a:lumMod val="75000"/>
                    </a:schemeClr>
                  </a:gs>
                  <a:gs pos="0">
                    <a:schemeClr val="accent4">
                      <a:shade val="65000"/>
                      <a:lumMod val="75000"/>
                      <a:hueOff val="-1670000"/>
                    </a:schemeClr>
                  </a:gs>
                </a:gsLst>
                <a:lin ang="10800000" scaled="0"/>
              </a:gradFill>
            </a:ln>
            <a:effectLst/>
          </c:spPr>
          <c:invertIfNegative val="0"/>
          <c:dPt>
            <c:idx val="0"/>
            <c:invertIfNegative val="0"/>
            <c:bubble3D val="0"/>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Sheet1!$B$2</c:f>
              <c:numCache>
                <c:formatCode>0%</c:formatCode>
                <c:ptCount val="1"/>
                <c:pt idx="0">
                  <c:v>0.36</c:v>
                </c:pt>
              </c:numCache>
            </c:numRef>
          </c:val>
        </c:ser>
        <c:ser>
          <c:idx val="1"/>
          <c:order val="1"/>
          <c:tx>
            <c:strRef>
              <c:f>Sheet1!$C$1</c:f>
              <c:strCache>
                <c:ptCount val="1"/>
                <c:pt idx="0">
                  <c:v>B.降低药品价格</c:v>
                </c:pt>
              </c:strCache>
            </c:strRef>
          </c:tx>
          <c:spPr>
            <a:gradFill>
              <a:gsLst>
                <a:gs pos="100000">
                  <a:schemeClr val="accent4"/>
                </a:gs>
                <a:gs pos="0">
                  <a:schemeClr val="accent4">
                    <a:hueOff val="-1670000"/>
                  </a:schemeClr>
                </a:gs>
              </a:gsLst>
              <a:lin ang="10800000" scaled="0"/>
            </a:gradFill>
            <a:ln>
              <a:gradFill>
                <a:gsLst>
                  <a:gs pos="100000">
                    <a:schemeClr val="accent4">
                      <a:lumMod val="75000"/>
                    </a:schemeClr>
                  </a:gs>
                  <a:gs pos="0">
                    <a:schemeClr val="accent4">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Sheet1!$C$2</c:f>
              <c:numCache>
                <c:formatCode>0%</c:formatCode>
                <c:ptCount val="1"/>
                <c:pt idx="0">
                  <c:v>0.34</c:v>
                </c:pt>
              </c:numCache>
            </c:numRef>
          </c:val>
        </c:ser>
        <c:ser>
          <c:idx val="2"/>
          <c:order val="2"/>
          <c:tx>
            <c:strRef>
              <c:f>Sheet1!$D$1</c:f>
              <c:strCache>
                <c:ptCount val="1"/>
                <c:pt idx="0">
                  <c:v>C.提供更多剂型选择</c:v>
                </c:pt>
              </c:strCache>
            </c:strRef>
          </c:tx>
          <c:spPr>
            <a:gradFill>
              <a:gsLst>
                <a:gs pos="100000">
                  <a:schemeClr val="accent4">
                    <a:tint val="65000"/>
                  </a:schemeClr>
                </a:gs>
                <a:gs pos="0">
                  <a:schemeClr val="accent4">
                    <a:tint val="65000"/>
                    <a:hueOff val="-1670000"/>
                  </a:schemeClr>
                </a:gs>
              </a:gsLst>
              <a:lin ang="10800000" scaled="0"/>
            </a:gradFill>
            <a:ln>
              <a:gradFill>
                <a:gsLst>
                  <a:gs pos="100000">
                    <a:schemeClr val="accent4">
                      <a:tint val="65000"/>
                      <a:lumMod val="75000"/>
                    </a:schemeClr>
                  </a:gs>
                  <a:gs pos="0">
                    <a:schemeClr val="accent4">
                      <a:tint val="65000"/>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Sheet1!$A$2</c:f>
              <c:strCache>
                <c:ptCount val="1"/>
                <c:pt idx="0">
                  <c:v>占比</c:v>
                </c:pt>
              </c:strCache>
            </c:strRef>
          </c:cat>
          <c:val>
            <c:numRef>
              <c:f>Sheet1!$D$2</c:f>
              <c:numCache>
                <c:formatCode>0%</c:formatCode>
                <c:ptCount val="1"/>
                <c:pt idx="0">
                  <c:v>0.3</c:v>
                </c:pt>
              </c:numCache>
            </c:numRef>
          </c:val>
        </c:ser>
        <c:dLbls>
          <c:showLegendKey val="0"/>
          <c:showVal val="1"/>
          <c:showCatName val="0"/>
          <c:showSerName val="0"/>
          <c:showPercent val="0"/>
          <c:showBubbleSize val="0"/>
        </c:dLbls>
        <c:gapWidth val="140"/>
        <c:overlap val="-40"/>
        <c:axId val="786245726"/>
        <c:axId val="35448603"/>
      </c:barChart>
      <c:catAx>
        <c:axId val="786245726"/>
        <c:scaling>
          <c:orientation val="minMax"/>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35448603"/>
        <c:crosses val="autoZero"/>
        <c:auto val="1"/>
        <c:lblAlgn val="ctr"/>
        <c:lblOffset val="100"/>
        <c:noMultiLvlLbl val="0"/>
      </c:catAx>
      <c:valAx>
        <c:axId val="35448603"/>
        <c:scaling>
          <c:orientation val="minMax"/>
        </c:scaling>
        <c:delete val="0"/>
        <c:axPos val="b"/>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crossAx val="786245726"/>
        <c:crosses val="autoZero"/>
        <c:crossBetween val="between"/>
      </c:valAx>
      <c:spPr>
        <a:noFill/>
        <a:ln>
          <a:noFill/>
        </a:ln>
        <a:effectLst/>
      </c:spPr>
    </c:plotArea>
    <c:legend>
      <c:legendPos val="r"/>
      <c:layout>
        <c:manualLayout>
          <c:xMode val="edge"/>
          <c:yMode val="edge"/>
          <c:x val="0.652220248667851"/>
          <c:y val="0.0693785874719241"/>
          <c:w val="0.333333333333333"/>
          <c:h val="0.822061392563015"/>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0516fb-ee9b-4548-84ea-c61abdbeb398}"/>
      </c:ext>
    </c:extLst>
  </c:chart>
  <c:spPr>
    <a:no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colors2.xml><?xml version="1.0" encoding="utf-8"?>
<cs:colorStyle xmlns:cs="http://schemas.microsoft.com/office/drawing/2012/chartStyle" xmlns:a="http://schemas.openxmlformats.org/drawingml/2006/main" meth="withinLinear" id="17">
  <a:schemeClr val="accent4"/>
</cs:colorStyle>
</file>

<file path=word/charts/colors3.xml><?xml version="1.0" encoding="utf-8"?>
<cs:colorStyle xmlns:cs="http://schemas.microsoft.com/office/drawing/2012/chartStyle" xmlns:a="http://schemas.openxmlformats.org/drawingml/2006/main" meth="withinLinear" id="17">
  <a:schemeClr val="accent4"/>
</cs:colorStyle>
</file>

<file path=word/charts/colors4.xml><?xml version="1.0" encoding="utf-8"?>
<cs:colorStyle xmlns:cs="http://schemas.microsoft.com/office/drawing/2012/chartStyle" xmlns:a="http://schemas.openxmlformats.org/drawingml/2006/main" meth="withinLinear" id="17">
  <a:schemeClr val="accent4"/>
</cs:colorStyle>
</file>

<file path=word/charts/colors5.xml><?xml version="1.0" encoding="utf-8"?>
<cs:colorStyle xmlns:cs="http://schemas.microsoft.com/office/drawing/2012/chartStyle" xmlns:a="http://schemas.openxmlformats.org/drawingml/2006/main" meth="withinLinear" id="17">
  <a:schemeClr val="accent4"/>
</cs:colorStyle>
</file>

<file path=word/charts/colors6.xml><?xml version="1.0" encoding="utf-8"?>
<cs:colorStyle xmlns:cs="http://schemas.microsoft.com/office/drawing/2012/chartStyle" xmlns:a="http://schemas.openxmlformats.org/drawingml/2006/main" meth="withinLinear" id="17">
  <a:schemeClr val="accent4"/>
</cs:colorStyle>
</file>

<file path=word/charts/colors7.xml><?xml version="1.0" encoding="utf-8"?>
<cs:colorStyle xmlns:cs="http://schemas.microsoft.com/office/drawing/2012/chartStyle" xmlns:a="http://schemas.openxmlformats.org/drawingml/2006/main" meth="withinLinear" id="17">
  <a:schemeClr val="accent4"/>
</cs:colorStyle>
</file>

<file path=word/charts/colors8.xml><?xml version="1.0" encoding="utf-8"?>
<cs:colorStyle xmlns:cs="http://schemas.microsoft.com/office/drawing/2012/chartStyle" xmlns:a="http://schemas.openxmlformats.org/drawingml/2006/main" meth="withinLinear" id="17">
  <a:schemeClr val="accent4"/>
</cs:colorStyle>
</file>

<file path=word/charts/colors9.xml><?xml version="1.0" encoding="utf-8"?>
<cs:colorStyle xmlns:cs="http://schemas.microsoft.com/office/drawing/2012/chartStyle" xmlns:a="http://schemas.openxmlformats.org/drawingml/2006/main" meth="withinLinear" id="17">
  <a:schemeClr val="accent4"/>
</cs:colorStyle>
</file>

<file path=word/charts/colors10.xml><?xml version="1.0" encoding="utf-8"?>
<cs:colorStyle xmlns:cs="http://schemas.microsoft.com/office/drawing/2012/chartStyle" xmlns:a="http://schemas.openxmlformats.org/drawingml/2006/main" meth="withinLinear" id="17">
  <a:schemeClr val="accent4"/>
</cs:colorStyle>
</file>

<file path=word/charts/colors11.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12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100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3507</Words>
  <Characters>3615</Characters>
  <Lines>0</Lines>
  <Paragraphs>0</Paragraphs>
  <TotalTime>33</TotalTime>
  <ScaleCrop>false</ScaleCrop>
  <LinksUpToDate>false</LinksUpToDate>
  <CharactersWithSpaces>3682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2025-11-05T09:18:00Z</dcterms:created>
  <dc:creator>Zara</dc:creator>
  <cp:lastModifiedBy>Zara</cp:lastModifiedBy>
  <dcterms:modified xsi:type="dcterms:W3CDTF">2025-12-10T05:24:23Z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0B23C60C84D44AB08874084615FBB3BA_11</vt:lpwstr>
  </property>
  <property fmtid="{D5CDD505-2E9C-101B-9397-08002B2CF9AE}" pid="4" name="KSOTemplateDocerSaveRecord">
    <vt:lpwstr>eyJoZGlkIjoiZGQ5MGVjMzJhZGY4NGFhMjBkYTZhOGZlZmQ4NTRkMWEiLCJ1c2VySWQiOiIyMjkyODY2NjAifQ==</vt:lpwstr>
  </property>
</Properties>
</file>