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C968" w14:textId="77777777" w:rsidR="00602507" w:rsidRDefault="00602507">
      <w:pPr>
        <w:pStyle w:val="BodyText"/>
        <w:rPr>
          <w:rFonts w:ascii="Times New Roman"/>
          <w:sz w:val="20"/>
        </w:rPr>
      </w:pPr>
    </w:p>
    <w:p w14:paraId="23DD760C" w14:textId="77777777" w:rsidR="00602507" w:rsidRDefault="00602507">
      <w:pPr>
        <w:pStyle w:val="BodyText"/>
        <w:rPr>
          <w:rFonts w:ascii="Times New Roman"/>
          <w:sz w:val="20"/>
        </w:rPr>
      </w:pPr>
    </w:p>
    <w:p w14:paraId="020666FB" w14:textId="77777777" w:rsidR="00602507" w:rsidRDefault="00602507">
      <w:pPr>
        <w:pStyle w:val="BodyText"/>
        <w:rPr>
          <w:rFonts w:ascii="Times New Roman"/>
          <w:sz w:val="20"/>
        </w:rPr>
      </w:pPr>
    </w:p>
    <w:p w14:paraId="4AA95CA3" w14:textId="77777777" w:rsidR="00602507" w:rsidRDefault="00602507">
      <w:pPr>
        <w:pStyle w:val="BodyText"/>
        <w:rPr>
          <w:rFonts w:ascii="Times New Roman"/>
          <w:sz w:val="20"/>
        </w:rPr>
      </w:pPr>
    </w:p>
    <w:p w14:paraId="5E53AE8F" w14:textId="77777777" w:rsidR="00602507" w:rsidRDefault="00602507">
      <w:pPr>
        <w:pStyle w:val="BodyText"/>
        <w:rPr>
          <w:rFonts w:ascii="Times New Roman"/>
          <w:sz w:val="20"/>
        </w:rPr>
      </w:pPr>
    </w:p>
    <w:p w14:paraId="4B5C9085" w14:textId="77777777" w:rsidR="00602507" w:rsidRDefault="00602507">
      <w:pPr>
        <w:pStyle w:val="BodyText"/>
        <w:rPr>
          <w:rFonts w:ascii="Times New Roman"/>
          <w:sz w:val="20"/>
        </w:rPr>
      </w:pPr>
    </w:p>
    <w:p w14:paraId="39211FB9" w14:textId="77777777" w:rsidR="00602507" w:rsidRDefault="00602507">
      <w:pPr>
        <w:pStyle w:val="BodyText"/>
        <w:rPr>
          <w:rFonts w:ascii="Times New Roman"/>
          <w:sz w:val="20"/>
        </w:rPr>
      </w:pPr>
    </w:p>
    <w:p w14:paraId="46CADB24" w14:textId="77777777" w:rsidR="00602507" w:rsidRDefault="00602507">
      <w:pPr>
        <w:pStyle w:val="BodyText"/>
        <w:rPr>
          <w:rFonts w:ascii="Times New Roman"/>
          <w:sz w:val="18"/>
        </w:rPr>
      </w:pPr>
    </w:p>
    <w:p w14:paraId="6F45D33C" w14:textId="77777777" w:rsidR="00602507" w:rsidRDefault="0062649E">
      <w:pPr>
        <w:pStyle w:val="BodyText"/>
        <w:ind w:left="2740"/>
        <w:rPr>
          <w:rFonts w:ascii="Times New Roman"/>
          <w:sz w:val="20"/>
        </w:rPr>
      </w:pPr>
      <w:r>
        <w:rPr>
          <w:rFonts w:ascii="Times New Roman"/>
          <w:noProof/>
          <w:sz w:val="20"/>
        </w:rPr>
        <w:drawing>
          <wp:inline distT="0" distB="0" distL="0" distR="0" wp14:anchorId="2EC2EB3F" wp14:editId="06C78C0F">
            <wp:extent cx="2577939" cy="1867852"/>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577939" cy="1867852"/>
                    </a:xfrm>
                    <a:prstGeom prst="rect">
                      <a:avLst/>
                    </a:prstGeom>
                  </pic:spPr>
                </pic:pic>
              </a:graphicData>
            </a:graphic>
          </wp:inline>
        </w:drawing>
      </w:r>
    </w:p>
    <w:p w14:paraId="64C598DC" w14:textId="77777777" w:rsidR="00602507" w:rsidRDefault="00602507">
      <w:pPr>
        <w:pStyle w:val="BodyText"/>
        <w:rPr>
          <w:rFonts w:ascii="Times New Roman"/>
          <w:sz w:val="20"/>
        </w:rPr>
      </w:pPr>
    </w:p>
    <w:p w14:paraId="0B8617B3" w14:textId="77777777" w:rsidR="00602507" w:rsidRDefault="00602507">
      <w:pPr>
        <w:pStyle w:val="BodyText"/>
        <w:rPr>
          <w:rFonts w:ascii="Times New Roman"/>
          <w:sz w:val="20"/>
        </w:rPr>
      </w:pPr>
    </w:p>
    <w:p w14:paraId="3247F775" w14:textId="77777777" w:rsidR="00602507" w:rsidRDefault="00602507">
      <w:pPr>
        <w:pStyle w:val="BodyText"/>
        <w:rPr>
          <w:rFonts w:ascii="Times New Roman"/>
          <w:sz w:val="20"/>
        </w:rPr>
      </w:pPr>
    </w:p>
    <w:p w14:paraId="0DED1DA5" w14:textId="77777777" w:rsidR="00602507" w:rsidRDefault="0062649E">
      <w:pPr>
        <w:pStyle w:val="Title"/>
        <w:rPr>
          <w:u w:val="none"/>
        </w:rPr>
      </w:pPr>
      <w:r>
        <w:t>HAMIROJO</w:t>
      </w:r>
      <w:r>
        <w:rPr>
          <w:spacing w:val="-13"/>
        </w:rPr>
        <w:t xml:space="preserve"> </w:t>
      </w:r>
      <w:r>
        <w:rPr>
          <w:spacing w:val="-2"/>
        </w:rPr>
        <w:t>CLOTHING</w:t>
      </w:r>
    </w:p>
    <w:p w14:paraId="5C970A1F" w14:textId="77777777" w:rsidR="00602507" w:rsidRDefault="00602507">
      <w:pPr>
        <w:pStyle w:val="BodyText"/>
        <w:rPr>
          <w:b/>
          <w:sz w:val="20"/>
        </w:rPr>
      </w:pPr>
    </w:p>
    <w:p w14:paraId="296C3688" w14:textId="77777777" w:rsidR="00602507" w:rsidRDefault="00602507">
      <w:pPr>
        <w:pStyle w:val="BodyText"/>
        <w:rPr>
          <w:b/>
          <w:sz w:val="20"/>
        </w:rPr>
      </w:pPr>
    </w:p>
    <w:p w14:paraId="3774CF21" w14:textId="77777777" w:rsidR="00602507" w:rsidRDefault="00602507">
      <w:pPr>
        <w:pStyle w:val="BodyText"/>
        <w:rPr>
          <w:b/>
          <w:sz w:val="20"/>
        </w:rPr>
      </w:pPr>
    </w:p>
    <w:p w14:paraId="173B0905" w14:textId="77777777" w:rsidR="00602507" w:rsidRDefault="00602507">
      <w:pPr>
        <w:pStyle w:val="BodyText"/>
        <w:rPr>
          <w:b/>
          <w:sz w:val="20"/>
        </w:rPr>
      </w:pPr>
    </w:p>
    <w:p w14:paraId="4ED5CB19" w14:textId="77777777" w:rsidR="00602507" w:rsidRDefault="00602507">
      <w:pPr>
        <w:pStyle w:val="BodyText"/>
        <w:rPr>
          <w:b/>
          <w:sz w:val="20"/>
        </w:rPr>
      </w:pPr>
    </w:p>
    <w:p w14:paraId="7ADD6674" w14:textId="77777777" w:rsidR="00602507" w:rsidRDefault="00602507">
      <w:pPr>
        <w:pStyle w:val="BodyText"/>
        <w:rPr>
          <w:b/>
          <w:sz w:val="20"/>
        </w:rPr>
      </w:pPr>
    </w:p>
    <w:p w14:paraId="1AB07152" w14:textId="77777777" w:rsidR="00602507" w:rsidRDefault="00602507">
      <w:pPr>
        <w:pStyle w:val="BodyText"/>
        <w:spacing w:before="1"/>
        <w:rPr>
          <w:b/>
        </w:rPr>
      </w:pPr>
    </w:p>
    <w:p w14:paraId="30891A8C" w14:textId="7FFB9C35" w:rsidR="00602507" w:rsidRDefault="0062649E" w:rsidP="00EA7B71">
      <w:pPr>
        <w:pStyle w:val="BodyText"/>
        <w:spacing w:line="276" w:lineRule="auto"/>
        <w:ind w:left="3638" w:right="3657" w:hanging="1"/>
        <w:jc w:val="center"/>
        <w:sectPr w:rsidR="00602507">
          <w:headerReference w:type="default" r:id="rId8"/>
          <w:footerReference w:type="default" r:id="rId9"/>
          <w:type w:val="continuous"/>
          <w:pgSz w:w="12240" w:h="15840"/>
          <w:pgMar w:top="2160" w:right="1320" w:bottom="280" w:left="1340" w:header="498" w:footer="0" w:gutter="0"/>
          <w:pgNumType w:start="1"/>
          <w:cols w:space="720"/>
        </w:sectPr>
      </w:pPr>
      <w:proofErr w:type="spellStart"/>
      <w:r>
        <w:t>Anivado</w:t>
      </w:r>
      <w:proofErr w:type="spellEnd"/>
      <w:r>
        <w:t>, Jonel B. Ignacio, Rosalie M. Jose, Hanna Lee V. Mendoza,</w:t>
      </w:r>
      <w:r>
        <w:rPr>
          <w:spacing w:val="-5"/>
        </w:rPr>
        <w:t xml:space="preserve"> </w:t>
      </w:r>
      <w:r>
        <w:t>Michelle</w:t>
      </w:r>
      <w:r>
        <w:rPr>
          <w:spacing w:val="-5"/>
        </w:rPr>
        <w:t xml:space="preserve"> C.</w:t>
      </w:r>
    </w:p>
    <w:tbl>
      <w:tblPr>
        <w:tblStyle w:val="TableGrid"/>
        <w:tblpPr w:leftFromText="180" w:rightFromText="180" w:tblpY="510"/>
        <w:tblW w:w="9715" w:type="dxa"/>
        <w:tblLook w:val="04A0" w:firstRow="1" w:lastRow="0" w:firstColumn="1" w:lastColumn="0" w:noHBand="0" w:noVBand="1"/>
      </w:tblPr>
      <w:tblGrid>
        <w:gridCol w:w="1345"/>
        <w:gridCol w:w="2520"/>
        <w:gridCol w:w="2790"/>
        <w:gridCol w:w="3060"/>
      </w:tblGrid>
      <w:tr w:rsidR="00673C78" w14:paraId="3A92C3E3" w14:textId="77777777" w:rsidTr="00E95B74">
        <w:tc>
          <w:tcPr>
            <w:tcW w:w="1345" w:type="dxa"/>
            <w:vAlign w:val="center"/>
          </w:tcPr>
          <w:p w14:paraId="73ABDD36" w14:textId="7A884FE8" w:rsidR="00673C78" w:rsidRDefault="00673C78" w:rsidP="00673C78">
            <w:pPr>
              <w:pStyle w:val="BodyText"/>
              <w:spacing w:before="200" w:line="276" w:lineRule="auto"/>
              <w:ind w:right="117"/>
              <w:jc w:val="center"/>
              <w:rPr>
                <w:b/>
                <w:bCs/>
              </w:rPr>
            </w:pPr>
            <w:bookmarkStart w:id="0" w:name="_Hlk152449068"/>
            <w:r>
              <w:rPr>
                <w:b/>
                <w:bCs/>
              </w:rPr>
              <w:lastRenderedPageBreak/>
              <w:t>YEAR</w:t>
            </w:r>
          </w:p>
        </w:tc>
        <w:tc>
          <w:tcPr>
            <w:tcW w:w="2520" w:type="dxa"/>
            <w:vAlign w:val="center"/>
          </w:tcPr>
          <w:p w14:paraId="23524AB8" w14:textId="0E2636B7" w:rsidR="00673C78" w:rsidRDefault="00673C78" w:rsidP="00673C78">
            <w:pPr>
              <w:pStyle w:val="BodyText"/>
              <w:spacing w:before="200" w:line="276" w:lineRule="auto"/>
              <w:ind w:right="117"/>
              <w:jc w:val="center"/>
              <w:rPr>
                <w:b/>
                <w:bCs/>
              </w:rPr>
            </w:pPr>
            <w:r>
              <w:rPr>
                <w:b/>
                <w:bCs/>
              </w:rPr>
              <w:t>UNITS SOLD</w:t>
            </w:r>
          </w:p>
        </w:tc>
        <w:tc>
          <w:tcPr>
            <w:tcW w:w="2790" w:type="dxa"/>
            <w:vAlign w:val="center"/>
          </w:tcPr>
          <w:p w14:paraId="2709301D" w14:textId="1B00B6B5" w:rsidR="00673C78" w:rsidRDefault="00673C78" w:rsidP="00673C78">
            <w:pPr>
              <w:pStyle w:val="BodyText"/>
              <w:spacing w:before="200" w:line="276" w:lineRule="auto"/>
              <w:ind w:right="117"/>
              <w:jc w:val="center"/>
              <w:rPr>
                <w:b/>
                <w:bCs/>
              </w:rPr>
            </w:pPr>
            <w:r>
              <w:rPr>
                <w:b/>
                <w:bCs/>
              </w:rPr>
              <w:t>PRICE PER UNIT</w:t>
            </w:r>
          </w:p>
        </w:tc>
        <w:tc>
          <w:tcPr>
            <w:tcW w:w="3060" w:type="dxa"/>
            <w:vAlign w:val="center"/>
          </w:tcPr>
          <w:p w14:paraId="26879603" w14:textId="160117B1" w:rsidR="00673C78" w:rsidRDefault="00673C78" w:rsidP="00673C78">
            <w:pPr>
              <w:pStyle w:val="BodyText"/>
              <w:spacing w:before="200" w:line="276" w:lineRule="auto"/>
              <w:ind w:right="117"/>
              <w:jc w:val="center"/>
              <w:rPr>
                <w:b/>
                <w:bCs/>
              </w:rPr>
            </w:pPr>
            <w:r>
              <w:rPr>
                <w:b/>
                <w:bCs/>
              </w:rPr>
              <w:t>TOTAL SALES</w:t>
            </w:r>
          </w:p>
        </w:tc>
      </w:tr>
      <w:tr w:rsidR="00673C78" w14:paraId="2A800A23" w14:textId="77777777" w:rsidTr="00E95B74">
        <w:tc>
          <w:tcPr>
            <w:tcW w:w="1345" w:type="dxa"/>
          </w:tcPr>
          <w:p w14:paraId="2B71AA4A" w14:textId="4B553070" w:rsidR="00673C78" w:rsidRPr="00673C78" w:rsidRDefault="00673C78" w:rsidP="00E95B74">
            <w:pPr>
              <w:pStyle w:val="BodyText"/>
              <w:spacing w:before="200" w:line="276" w:lineRule="auto"/>
              <w:ind w:right="117"/>
              <w:jc w:val="center"/>
            </w:pPr>
            <w:r>
              <w:t>2023</w:t>
            </w:r>
          </w:p>
        </w:tc>
        <w:tc>
          <w:tcPr>
            <w:tcW w:w="2520" w:type="dxa"/>
          </w:tcPr>
          <w:p w14:paraId="429EB605" w14:textId="0B549D89" w:rsidR="00673C78" w:rsidRPr="00673C78" w:rsidRDefault="00673C78" w:rsidP="00E95B74">
            <w:pPr>
              <w:pStyle w:val="BodyText"/>
              <w:spacing w:before="200" w:line="276" w:lineRule="auto"/>
              <w:ind w:right="117"/>
              <w:jc w:val="center"/>
            </w:pPr>
            <w:r>
              <w:t>12,000</w:t>
            </w:r>
          </w:p>
        </w:tc>
        <w:tc>
          <w:tcPr>
            <w:tcW w:w="2790" w:type="dxa"/>
          </w:tcPr>
          <w:p w14:paraId="5DB9AF30" w14:textId="43ECCFCD" w:rsidR="00673C78" w:rsidRPr="00673C78" w:rsidRDefault="00986AB2" w:rsidP="00673C78">
            <w:pPr>
              <w:pStyle w:val="BodyText"/>
              <w:spacing w:before="200" w:line="276" w:lineRule="auto"/>
              <w:ind w:right="117"/>
              <w:jc w:val="both"/>
            </w:pPr>
            <w:r>
              <w:t>P</w:t>
            </w:r>
            <w:r w:rsidR="005111D3">
              <w:t xml:space="preserve">                              </w:t>
            </w:r>
            <w:r>
              <w:t>550.00</w:t>
            </w:r>
          </w:p>
        </w:tc>
        <w:tc>
          <w:tcPr>
            <w:tcW w:w="3060" w:type="dxa"/>
          </w:tcPr>
          <w:p w14:paraId="3782A851" w14:textId="6E48C9C4" w:rsidR="00673C78" w:rsidRPr="00673C78" w:rsidRDefault="00EA045A" w:rsidP="00673C78">
            <w:pPr>
              <w:pStyle w:val="BodyText"/>
              <w:spacing w:before="200" w:line="276" w:lineRule="auto"/>
              <w:ind w:right="117"/>
              <w:jc w:val="both"/>
            </w:pPr>
            <w:r>
              <w:t>P</w:t>
            </w:r>
            <w:r w:rsidR="005111D3">
              <w:t xml:space="preserve">                        </w:t>
            </w:r>
            <w:r>
              <w:t>6,600,000.00</w:t>
            </w:r>
          </w:p>
        </w:tc>
      </w:tr>
      <w:tr w:rsidR="00673C78" w14:paraId="73F0A1BF" w14:textId="77777777" w:rsidTr="00E95B74">
        <w:tc>
          <w:tcPr>
            <w:tcW w:w="1345" w:type="dxa"/>
          </w:tcPr>
          <w:p w14:paraId="0D11AAF9" w14:textId="4E94B9F0" w:rsidR="00673C78" w:rsidRPr="00673C78" w:rsidRDefault="00673C78" w:rsidP="00E95B74">
            <w:pPr>
              <w:pStyle w:val="BodyText"/>
              <w:spacing w:before="200" w:line="276" w:lineRule="auto"/>
              <w:ind w:right="117"/>
              <w:jc w:val="center"/>
            </w:pPr>
            <w:r>
              <w:t>2024</w:t>
            </w:r>
          </w:p>
        </w:tc>
        <w:tc>
          <w:tcPr>
            <w:tcW w:w="2520" w:type="dxa"/>
          </w:tcPr>
          <w:p w14:paraId="79D8C628" w14:textId="70AE5BC6" w:rsidR="00673C78" w:rsidRPr="00673C78" w:rsidRDefault="00673C78" w:rsidP="00E95B74">
            <w:pPr>
              <w:pStyle w:val="BodyText"/>
              <w:spacing w:before="200" w:line="276" w:lineRule="auto"/>
              <w:ind w:right="117"/>
              <w:jc w:val="center"/>
            </w:pPr>
            <w:r>
              <w:t>14,400</w:t>
            </w:r>
          </w:p>
        </w:tc>
        <w:tc>
          <w:tcPr>
            <w:tcW w:w="2790" w:type="dxa"/>
          </w:tcPr>
          <w:p w14:paraId="0C36D31D" w14:textId="71D25BA9" w:rsidR="00673C78" w:rsidRPr="00673C78" w:rsidRDefault="005111D3" w:rsidP="00673C78">
            <w:pPr>
              <w:pStyle w:val="BodyText"/>
              <w:spacing w:before="200" w:line="276" w:lineRule="auto"/>
              <w:ind w:right="117"/>
              <w:jc w:val="both"/>
            </w:pPr>
            <w:r>
              <w:t xml:space="preserve">                             </w:t>
            </w:r>
            <w:r w:rsidR="00986AB2">
              <w:t>550.00</w:t>
            </w:r>
          </w:p>
        </w:tc>
        <w:tc>
          <w:tcPr>
            <w:tcW w:w="3060" w:type="dxa"/>
          </w:tcPr>
          <w:p w14:paraId="2E4DA646" w14:textId="37DB4012" w:rsidR="00673C78" w:rsidRPr="00673C78" w:rsidRDefault="005111D3" w:rsidP="00673C78">
            <w:pPr>
              <w:pStyle w:val="BodyText"/>
              <w:spacing w:before="200" w:line="276" w:lineRule="auto"/>
              <w:ind w:right="117"/>
              <w:jc w:val="both"/>
            </w:pPr>
            <w:r>
              <w:t xml:space="preserve">                     </w:t>
            </w:r>
            <w:r w:rsidR="00EA045A">
              <w:t>7,920,000.00</w:t>
            </w:r>
          </w:p>
        </w:tc>
      </w:tr>
      <w:tr w:rsidR="00673C78" w14:paraId="6D38F351" w14:textId="77777777" w:rsidTr="00E95B74">
        <w:tc>
          <w:tcPr>
            <w:tcW w:w="1345" w:type="dxa"/>
          </w:tcPr>
          <w:p w14:paraId="7179FFD0" w14:textId="427B397B" w:rsidR="00673C78" w:rsidRPr="00673C78" w:rsidRDefault="00673C78" w:rsidP="00E95B74">
            <w:pPr>
              <w:pStyle w:val="BodyText"/>
              <w:spacing w:before="200" w:line="276" w:lineRule="auto"/>
              <w:ind w:right="117"/>
              <w:jc w:val="center"/>
            </w:pPr>
            <w:r>
              <w:t>2025</w:t>
            </w:r>
          </w:p>
        </w:tc>
        <w:tc>
          <w:tcPr>
            <w:tcW w:w="2520" w:type="dxa"/>
          </w:tcPr>
          <w:p w14:paraId="7057D043" w14:textId="18A7E749" w:rsidR="00673C78" w:rsidRPr="00673C78" w:rsidRDefault="00673C78" w:rsidP="00E95B74">
            <w:pPr>
              <w:pStyle w:val="BodyText"/>
              <w:spacing w:before="200" w:line="276" w:lineRule="auto"/>
              <w:ind w:right="117"/>
              <w:jc w:val="center"/>
            </w:pPr>
            <w:r>
              <w:t>17,280</w:t>
            </w:r>
          </w:p>
        </w:tc>
        <w:tc>
          <w:tcPr>
            <w:tcW w:w="2790" w:type="dxa"/>
          </w:tcPr>
          <w:p w14:paraId="73DD845C" w14:textId="34F4AC2B" w:rsidR="00673C78" w:rsidRPr="00673C78" w:rsidRDefault="005111D3" w:rsidP="00673C78">
            <w:pPr>
              <w:pStyle w:val="BodyText"/>
              <w:spacing w:before="200" w:line="276" w:lineRule="auto"/>
              <w:ind w:right="117"/>
              <w:jc w:val="both"/>
            </w:pPr>
            <w:r>
              <w:t xml:space="preserve">                             </w:t>
            </w:r>
            <w:r w:rsidR="00986AB2">
              <w:t>550.00</w:t>
            </w:r>
          </w:p>
        </w:tc>
        <w:tc>
          <w:tcPr>
            <w:tcW w:w="3060" w:type="dxa"/>
          </w:tcPr>
          <w:p w14:paraId="142BBE87" w14:textId="6F20271D" w:rsidR="00673C78" w:rsidRPr="00673C78" w:rsidRDefault="005111D3" w:rsidP="00673C78">
            <w:pPr>
              <w:pStyle w:val="BodyText"/>
              <w:spacing w:before="200" w:line="276" w:lineRule="auto"/>
              <w:ind w:right="117"/>
              <w:jc w:val="both"/>
            </w:pPr>
            <w:r>
              <w:t xml:space="preserve">                     </w:t>
            </w:r>
            <w:r w:rsidR="005F531A">
              <w:t>9,504,000.00</w:t>
            </w:r>
          </w:p>
        </w:tc>
      </w:tr>
      <w:tr w:rsidR="00673C78" w14:paraId="46427209" w14:textId="77777777" w:rsidTr="00E95B74">
        <w:tc>
          <w:tcPr>
            <w:tcW w:w="1345" w:type="dxa"/>
          </w:tcPr>
          <w:p w14:paraId="3CDB660F" w14:textId="789339E8" w:rsidR="00673C78" w:rsidRPr="00673C78" w:rsidRDefault="00673C78" w:rsidP="00E95B74">
            <w:pPr>
              <w:pStyle w:val="BodyText"/>
              <w:spacing w:before="200" w:line="276" w:lineRule="auto"/>
              <w:ind w:right="117"/>
              <w:jc w:val="center"/>
            </w:pPr>
            <w:r>
              <w:t>2026</w:t>
            </w:r>
          </w:p>
        </w:tc>
        <w:tc>
          <w:tcPr>
            <w:tcW w:w="2520" w:type="dxa"/>
          </w:tcPr>
          <w:p w14:paraId="47E71C33" w14:textId="31978433" w:rsidR="00673C78" w:rsidRPr="00673C78" w:rsidRDefault="00673C78" w:rsidP="00E95B74">
            <w:pPr>
              <w:pStyle w:val="BodyText"/>
              <w:spacing w:before="200" w:line="276" w:lineRule="auto"/>
              <w:ind w:right="117"/>
              <w:jc w:val="center"/>
            </w:pPr>
            <w:r>
              <w:t>20,736</w:t>
            </w:r>
          </w:p>
        </w:tc>
        <w:tc>
          <w:tcPr>
            <w:tcW w:w="2790" w:type="dxa"/>
          </w:tcPr>
          <w:p w14:paraId="0831A6B3" w14:textId="2F9C782E" w:rsidR="00673C78" w:rsidRPr="00673C78" w:rsidRDefault="005111D3" w:rsidP="00673C78">
            <w:pPr>
              <w:pStyle w:val="BodyText"/>
              <w:spacing w:before="200" w:line="276" w:lineRule="auto"/>
              <w:ind w:right="117"/>
              <w:jc w:val="both"/>
            </w:pPr>
            <w:r>
              <w:t xml:space="preserve">                             </w:t>
            </w:r>
            <w:r w:rsidR="00986AB2">
              <w:t>550.00</w:t>
            </w:r>
          </w:p>
        </w:tc>
        <w:tc>
          <w:tcPr>
            <w:tcW w:w="3060" w:type="dxa"/>
          </w:tcPr>
          <w:p w14:paraId="73D4D028" w14:textId="4098F614" w:rsidR="00673C78" w:rsidRPr="00673C78" w:rsidRDefault="005111D3" w:rsidP="00673C78">
            <w:pPr>
              <w:pStyle w:val="BodyText"/>
              <w:spacing w:before="200" w:line="276" w:lineRule="auto"/>
              <w:ind w:right="117"/>
              <w:jc w:val="both"/>
            </w:pPr>
            <w:r>
              <w:t xml:space="preserve">                    </w:t>
            </w:r>
            <w:r w:rsidR="005F531A">
              <w:t>11,404,800.00</w:t>
            </w:r>
          </w:p>
        </w:tc>
      </w:tr>
      <w:tr w:rsidR="00673C78" w14:paraId="4805F779" w14:textId="77777777" w:rsidTr="00E95B74">
        <w:tc>
          <w:tcPr>
            <w:tcW w:w="1345" w:type="dxa"/>
          </w:tcPr>
          <w:p w14:paraId="260E2AD8" w14:textId="42A47D08" w:rsidR="00673C78" w:rsidRDefault="00673C78" w:rsidP="00E95B74">
            <w:pPr>
              <w:pStyle w:val="BodyText"/>
              <w:spacing w:before="200" w:line="276" w:lineRule="auto"/>
              <w:ind w:right="117"/>
              <w:jc w:val="center"/>
            </w:pPr>
            <w:r>
              <w:t>2027</w:t>
            </w:r>
          </w:p>
        </w:tc>
        <w:tc>
          <w:tcPr>
            <w:tcW w:w="2520" w:type="dxa"/>
          </w:tcPr>
          <w:p w14:paraId="088E62C9" w14:textId="34844183" w:rsidR="00673C78" w:rsidRPr="00673C78" w:rsidRDefault="00986AB2" w:rsidP="00E95B74">
            <w:pPr>
              <w:pStyle w:val="BodyText"/>
              <w:spacing w:before="200" w:line="276" w:lineRule="auto"/>
              <w:ind w:right="117"/>
              <w:jc w:val="center"/>
            </w:pPr>
            <w:r>
              <w:t>24,883</w:t>
            </w:r>
          </w:p>
        </w:tc>
        <w:tc>
          <w:tcPr>
            <w:tcW w:w="2790" w:type="dxa"/>
          </w:tcPr>
          <w:p w14:paraId="597062FA" w14:textId="5528213D" w:rsidR="00673C78" w:rsidRPr="00673C78" w:rsidRDefault="005111D3" w:rsidP="00673C78">
            <w:pPr>
              <w:pStyle w:val="BodyText"/>
              <w:spacing w:before="200" w:line="276" w:lineRule="auto"/>
              <w:ind w:right="117"/>
              <w:jc w:val="both"/>
            </w:pPr>
            <w:r>
              <w:t xml:space="preserve">                             </w:t>
            </w:r>
            <w:r w:rsidR="00986AB2">
              <w:t>550.00</w:t>
            </w:r>
          </w:p>
        </w:tc>
        <w:tc>
          <w:tcPr>
            <w:tcW w:w="3060" w:type="dxa"/>
          </w:tcPr>
          <w:p w14:paraId="4792063C" w14:textId="7BB13C56" w:rsidR="00673C78" w:rsidRPr="00673C78" w:rsidRDefault="005111D3" w:rsidP="00673C78">
            <w:pPr>
              <w:pStyle w:val="BodyText"/>
              <w:spacing w:before="200" w:line="276" w:lineRule="auto"/>
              <w:ind w:right="117"/>
              <w:jc w:val="both"/>
            </w:pPr>
            <w:r>
              <w:t xml:space="preserve">                    </w:t>
            </w:r>
            <w:r w:rsidR="005F531A">
              <w:t>13,685,760.00</w:t>
            </w:r>
          </w:p>
        </w:tc>
      </w:tr>
    </w:tbl>
    <w:bookmarkEnd w:id="0"/>
    <w:p w14:paraId="05BBD8E9" w14:textId="4CBF6466" w:rsidR="00DD4FA2" w:rsidRDefault="00DD4FA2" w:rsidP="00D30940">
      <w:pPr>
        <w:pStyle w:val="BodyText"/>
        <w:spacing w:before="200" w:line="276" w:lineRule="auto"/>
        <w:ind w:right="117"/>
        <w:jc w:val="both"/>
        <w:rPr>
          <w:b/>
          <w:bCs/>
        </w:rPr>
      </w:pPr>
      <w:r>
        <w:rPr>
          <w:b/>
          <w:bCs/>
        </w:rPr>
        <w:t xml:space="preserve">PROJECTED </w:t>
      </w:r>
      <w:r w:rsidR="00591613">
        <w:rPr>
          <w:b/>
          <w:bCs/>
        </w:rPr>
        <w:t>INCOME STATEMENT FOR 5 YEARS</w:t>
      </w:r>
    </w:p>
    <w:p w14:paraId="7FBA6C02" w14:textId="7281480B" w:rsidR="003C7B96" w:rsidRPr="003C7B96" w:rsidRDefault="003C7B96" w:rsidP="003C7B96">
      <w:pPr>
        <w:pStyle w:val="BodyText"/>
        <w:spacing w:before="200" w:line="276" w:lineRule="auto"/>
        <w:ind w:right="117" w:firstLine="720"/>
        <w:jc w:val="both"/>
      </w:pPr>
      <w:r w:rsidRPr="003C7B96">
        <w:t xml:space="preserve">These figures represent the projected sales data over a five-year period. </w:t>
      </w:r>
      <w:r w:rsidR="0058075B">
        <w:t xml:space="preserve">In calculating the units sold, </w:t>
      </w:r>
      <w:r w:rsidR="00A05325">
        <w:t>we had decided to have 20% increase annually</w:t>
      </w:r>
      <w:r w:rsidR="005111D3">
        <w:t xml:space="preserve">. </w:t>
      </w:r>
      <w:r w:rsidRPr="003C7B96">
        <w:t>The first column indicates the year, the second column illustrates the units sold for each respective year, and the third column displays the price per unit. By multiplying the units sold by the price per unit, the fourth column showcases the total sales for each year.</w:t>
      </w:r>
    </w:p>
    <w:p w14:paraId="65F7F4C2" w14:textId="5AE2AD42" w:rsidR="003C7B96" w:rsidRPr="003C7B96" w:rsidRDefault="003C7B96" w:rsidP="003C7B96">
      <w:pPr>
        <w:pStyle w:val="BodyText"/>
        <w:spacing w:before="200" w:line="276" w:lineRule="auto"/>
        <w:ind w:right="117" w:firstLine="720"/>
        <w:jc w:val="both"/>
      </w:pPr>
      <w:r w:rsidRPr="003C7B96">
        <w:t xml:space="preserve">In 2023, </w:t>
      </w:r>
      <w:r w:rsidR="00035435">
        <w:t>projected will be</w:t>
      </w:r>
      <w:r w:rsidRPr="003C7B96">
        <w:t xml:space="preserve"> 12,000 units sold at a price of </w:t>
      </w:r>
      <w:r w:rsidR="00035435">
        <w:t>P</w:t>
      </w:r>
      <w:r w:rsidRPr="003C7B96">
        <w:t xml:space="preserve">550.00 per unit, resulting in total sales amounting to </w:t>
      </w:r>
      <w:r w:rsidR="00035435">
        <w:t>P</w:t>
      </w:r>
      <w:r w:rsidRPr="003C7B96">
        <w:t xml:space="preserve">6,600,000.00. The subsequent years demonstrate an annual increase in units sold while maintaining a consistent price per unit. Year 2024 saw a rise in units sold to 14,400, generating total sales of </w:t>
      </w:r>
      <w:r w:rsidR="00035435">
        <w:t>P</w:t>
      </w:r>
      <w:r w:rsidRPr="003C7B96">
        <w:t xml:space="preserve">7,920,000.00. This trend continues with 17,280 units sold in 2025, accumulating </w:t>
      </w:r>
      <w:r w:rsidR="00035435">
        <w:t>P</w:t>
      </w:r>
      <w:r w:rsidRPr="003C7B96">
        <w:t xml:space="preserve">9,504,000.00 in total sales. In 2026, the units sold increased to 20,736, leading to total sales of </w:t>
      </w:r>
      <w:r w:rsidR="00035435">
        <w:t>P</w:t>
      </w:r>
      <w:r w:rsidRPr="003C7B96">
        <w:t xml:space="preserve">11,404,800.00. Lastly, by 2027, the number of units sold reached 24,883, resulting in total sales of </w:t>
      </w:r>
      <w:r w:rsidR="00035435">
        <w:t>P</w:t>
      </w:r>
      <w:r w:rsidRPr="003C7B96">
        <w:t>13,685,760.00. Overall, the data illustrates a consistent growth pattern in units sold and total sales over the five-year period.</w:t>
      </w:r>
    </w:p>
    <w:p w14:paraId="7475B39B" w14:textId="77777777" w:rsidR="003C7B96" w:rsidRPr="003C7B96" w:rsidRDefault="003C7B96" w:rsidP="003C7B96">
      <w:pPr>
        <w:pStyle w:val="BodyText"/>
        <w:spacing w:before="200" w:line="276" w:lineRule="auto"/>
        <w:ind w:right="117"/>
        <w:jc w:val="both"/>
        <w:rPr>
          <w:b/>
          <w:bCs/>
        </w:rPr>
      </w:pPr>
    </w:p>
    <w:p w14:paraId="77CEB205" w14:textId="77777777" w:rsidR="005111D3" w:rsidRPr="005111D3" w:rsidRDefault="005111D3" w:rsidP="005111D3"/>
    <w:tbl>
      <w:tblPr>
        <w:tblStyle w:val="TableGrid"/>
        <w:tblpPr w:leftFromText="180" w:rightFromText="180" w:vertAnchor="page" w:tblpY="10876"/>
        <w:tblW w:w="9715" w:type="dxa"/>
        <w:tblLook w:val="04A0" w:firstRow="1" w:lastRow="0" w:firstColumn="1" w:lastColumn="0" w:noHBand="0" w:noVBand="1"/>
      </w:tblPr>
      <w:tblGrid>
        <w:gridCol w:w="1345"/>
        <w:gridCol w:w="2520"/>
        <w:gridCol w:w="2790"/>
        <w:gridCol w:w="3060"/>
      </w:tblGrid>
      <w:tr w:rsidR="008A16F7" w14:paraId="5AE8B48F" w14:textId="77777777" w:rsidTr="008A16F7">
        <w:tc>
          <w:tcPr>
            <w:tcW w:w="1345" w:type="dxa"/>
            <w:vAlign w:val="center"/>
          </w:tcPr>
          <w:p w14:paraId="38B70A85" w14:textId="77777777" w:rsidR="008A16F7" w:rsidRDefault="008A16F7" w:rsidP="008A16F7">
            <w:pPr>
              <w:pStyle w:val="BodyText"/>
              <w:spacing w:before="200" w:line="276" w:lineRule="auto"/>
              <w:ind w:right="117"/>
              <w:jc w:val="center"/>
              <w:rPr>
                <w:b/>
                <w:bCs/>
              </w:rPr>
            </w:pPr>
            <w:r>
              <w:rPr>
                <w:b/>
                <w:bCs/>
              </w:rPr>
              <w:t>YEAR</w:t>
            </w:r>
          </w:p>
        </w:tc>
        <w:tc>
          <w:tcPr>
            <w:tcW w:w="2520" w:type="dxa"/>
            <w:vAlign w:val="center"/>
          </w:tcPr>
          <w:p w14:paraId="611B5AA5" w14:textId="77777777" w:rsidR="008A16F7" w:rsidRDefault="008A16F7" w:rsidP="008A16F7">
            <w:pPr>
              <w:pStyle w:val="BodyText"/>
              <w:spacing w:before="200" w:line="276" w:lineRule="auto"/>
              <w:ind w:right="117"/>
              <w:jc w:val="center"/>
              <w:rPr>
                <w:b/>
                <w:bCs/>
              </w:rPr>
            </w:pPr>
            <w:r>
              <w:rPr>
                <w:b/>
                <w:bCs/>
              </w:rPr>
              <w:t>REVENUE</w:t>
            </w:r>
          </w:p>
        </w:tc>
        <w:tc>
          <w:tcPr>
            <w:tcW w:w="2790" w:type="dxa"/>
            <w:vAlign w:val="center"/>
          </w:tcPr>
          <w:p w14:paraId="71714CF9" w14:textId="77777777" w:rsidR="008A16F7" w:rsidRDefault="008A16F7" w:rsidP="008A16F7">
            <w:pPr>
              <w:pStyle w:val="BodyText"/>
              <w:spacing w:before="200" w:line="276" w:lineRule="auto"/>
              <w:ind w:right="117"/>
              <w:jc w:val="center"/>
              <w:rPr>
                <w:b/>
                <w:bCs/>
              </w:rPr>
            </w:pPr>
            <w:r>
              <w:rPr>
                <w:b/>
                <w:bCs/>
              </w:rPr>
              <w:t>EXPENSES</w:t>
            </w:r>
          </w:p>
        </w:tc>
        <w:tc>
          <w:tcPr>
            <w:tcW w:w="3060" w:type="dxa"/>
            <w:vAlign w:val="center"/>
          </w:tcPr>
          <w:p w14:paraId="22A2CEEA" w14:textId="77777777" w:rsidR="008A16F7" w:rsidRDefault="008A16F7" w:rsidP="008A16F7">
            <w:pPr>
              <w:pStyle w:val="BodyText"/>
              <w:spacing w:before="200" w:line="276" w:lineRule="auto"/>
              <w:ind w:right="117"/>
              <w:jc w:val="center"/>
              <w:rPr>
                <w:b/>
                <w:bCs/>
              </w:rPr>
            </w:pPr>
            <w:r>
              <w:rPr>
                <w:b/>
                <w:bCs/>
              </w:rPr>
              <w:t>NET INCOME</w:t>
            </w:r>
          </w:p>
        </w:tc>
      </w:tr>
      <w:tr w:rsidR="008A16F7" w14:paraId="3F70FD51" w14:textId="77777777" w:rsidTr="008A16F7">
        <w:tc>
          <w:tcPr>
            <w:tcW w:w="1345" w:type="dxa"/>
          </w:tcPr>
          <w:p w14:paraId="2C63ABB7" w14:textId="77777777" w:rsidR="008A16F7" w:rsidRPr="00673C78" w:rsidRDefault="008A16F7" w:rsidP="008A16F7">
            <w:pPr>
              <w:pStyle w:val="BodyText"/>
              <w:spacing w:before="200" w:line="276" w:lineRule="auto"/>
              <w:ind w:right="117"/>
              <w:jc w:val="center"/>
            </w:pPr>
            <w:r>
              <w:t>2023</w:t>
            </w:r>
          </w:p>
        </w:tc>
        <w:tc>
          <w:tcPr>
            <w:tcW w:w="2520" w:type="dxa"/>
          </w:tcPr>
          <w:p w14:paraId="06BF5630" w14:textId="10D855AB" w:rsidR="008A16F7" w:rsidRPr="00673C78" w:rsidRDefault="008A16F7" w:rsidP="00D92C2E">
            <w:pPr>
              <w:pStyle w:val="BodyText"/>
              <w:spacing w:before="200" w:line="276" w:lineRule="auto"/>
              <w:ind w:right="117"/>
            </w:pPr>
            <w:r>
              <w:t>P</w:t>
            </w:r>
            <w:r w:rsidR="008F642B">
              <w:t xml:space="preserve">         </w:t>
            </w:r>
            <w:r>
              <w:t>6,600,000.00</w:t>
            </w:r>
          </w:p>
        </w:tc>
        <w:tc>
          <w:tcPr>
            <w:tcW w:w="2790" w:type="dxa"/>
          </w:tcPr>
          <w:p w14:paraId="755A2695" w14:textId="63C6CA6E" w:rsidR="008A16F7" w:rsidRPr="00673C78" w:rsidRDefault="008A16F7" w:rsidP="00D92C2E">
            <w:pPr>
              <w:pStyle w:val="BodyText"/>
              <w:spacing w:before="200" w:line="276" w:lineRule="auto"/>
              <w:ind w:right="117"/>
            </w:pPr>
            <w:r>
              <w:t>P</w:t>
            </w:r>
            <w:r w:rsidR="008F642B">
              <w:t xml:space="preserve">               </w:t>
            </w:r>
            <w:r>
              <w:t>6,095,938.97</w:t>
            </w:r>
          </w:p>
        </w:tc>
        <w:tc>
          <w:tcPr>
            <w:tcW w:w="3060" w:type="dxa"/>
          </w:tcPr>
          <w:p w14:paraId="1E871658" w14:textId="680F8666" w:rsidR="008A16F7" w:rsidRPr="00673C78" w:rsidRDefault="008A16F7" w:rsidP="00D92C2E">
            <w:pPr>
              <w:pStyle w:val="BodyText"/>
              <w:spacing w:before="200" w:line="276" w:lineRule="auto"/>
              <w:ind w:right="117"/>
            </w:pPr>
            <w:r>
              <w:t>P</w:t>
            </w:r>
            <w:r w:rsidR="008F642B">
              <w:t xml:space="preserve">                       </w:t>
            </w:r>
            <w:r>
              <w:t>504,061.03</w:t>
            </w:r>
          </w:p>
        </w:tc>
      </w:tr>
      <w:tr w:rsidR="008A16F7" w14:paraId="4EC806A1" w14:textId="77777777" w:rsidTr="008A16F7">
        <w:tc>
          <w:tcPr>
            <w:tcW w:w="1345" w:type="dxa"/>
          </w:tcPr>
          <w:p w14:paraId="6CB2F3F9" w14:textId="77777777" w:rsidR="008A16F7" w:rsidRPr="00673C78" w:rsidRDefault="008A16F7" w:rsidP="008A16F7">
            <w:pPr>
              <w:pStyle w:val="BodyText"/>
              <w:spacing w:before="200" w:line="276" w:lineRule="auto"/>
              <w:ind w:right="117"/>
              <w:jc w:val="center"/>
            </w:pPr>
            <w:r>
              <w:t>2024</w:t>
            </w:r>
          </w:p>
        </w:tc>
        <w:tc>
          <w:tcPr>
            <w:tcW w:w="2520" w:type="dxa"/>
          </w:tcPr>
          <w:p w14:paraId="284698B6" w14:textId="01D2F170" w:rsidR="008A16F7" w:rsidRPr="00673C78" w:rsidRDefault="008F642B" w:rsidP="00D92C2E">
            <w:pPr>
              <w:pStyle w:val="BodyText"/>
              <w:spacing w:before="200" w:line="276" w:lineRule="auto"/>
              <w:ind w:right="117"/>
            </w:pPr>
            <w:r>
              <w:t xml:space="preserve">            </w:t>
            </w:r>
            <w:r w:rsidR="008A16F7">
              <w:t>7,920,000.00</w:t>
            </w:r>
          </w:p>
        </w:tc>
        <w:tc>
          <w:tcPr>
            <w:tcW w:w="2790" w:type="dxa"/>
          </w:tcPr>
          <w:p w14:paraId="375D3E55" w14:textId="6B264A61" w:rsidR="008A16F7" w:rsidRPr="00673C78" w:rsidRDefault="008F642B" w:rsidP="00D92C2E">
            <w:pPr>
              <w:pStyle w:val="BodyText"/>
              <w:spacing w:before="200" w:line="276" w:lineRule="auto"/>
              <w:ind w:right="117"/>
            </w:pPr>
            <w:r>
              <w:t xml:space="preserve">                  </w:t>
            </w:r>
            <w:r w:rsidR="008A16F7">
              <w:t>5,857,300.99</w:t>
            </w:r>
          </w:p>
        </w:tc>
        <w:tc>
          <w:tcPr>
            <w:tcW w:w="3060" w:type="dxa"/>
          </w:tcPr>
          <w:p w14:paraId="0F2D0FE9" w14:textId="24591FD2" w:rsidR="008A16F7" w:rsidRPr="00673C78" w:rsidRDefault="008F642B" w:rsidP="00D92C2E">
            <w:pPr>
              <w:pStyle w:val="BodyText"/>
              <w:spacing w:before="200" w:line="276" w:lineRule="auto"/>
              <w:ind w:right="117"/>
            </w:pPr>
            <w:r>
              <w:t xml:space="preserve">                      </w:t>
            </w:r>
            <w:r w:rsidR="008A16F7">
              <w:t>2,062,699.01</w:t>
            </w:r>
          </w:p>
        </w:tc>
      </w:tr>
      <w:tr w:rsidR="008A16F7" w14:paraId="234BFBE1" w14:textId="77777777" w:rsidTr="008A16F7">
        <w:tc>
          <w:tcPr>
            <w:tcW w:w="1345" w:type="dxa"/>
          </w:tcPr>
          <w:p w14:paraId="6AB33609" w14:textId="77777777" w:rsidR="008A16F7" w:rsidRPr="00673C78" w:rsidRDefault="008A16F7" w:rsidP="008A16F7">
            <w:pPr>
              <w:pStyle w:val="BodyText"/>
              <w:spacing w:before="200" w:line="276" w:lineRule="auto"/>
              <w:ind w:right="117"/>
              <w:jc w:val="center"/>
            </w:pPr>
            <w:r>
              <w:t>2025</w:t>
            </w:r>
          </w:p>
        </w:tc>
        <w:tc>
          <w:tcPr>
            <w:tcW w:w="2520" w:type="dxa"/>
          </w:tcPr>
          <w:p w14:paraId="782CF885" w14:textId="64BF558E" w:rsidR="008A16F7" w:rsidRPr="00673C78" w:rsidRDefault="008F642B" w:rsidP="00D92C2E">
            <w:pPr>
              <w:pStyle w:val="BodyText"/>
              <w:spacing w:before="200" w:line="276" w:lineRule="auto"/>
              <w:ind w:right="117"/>
            </w:pPr>
            <w:r>
              <w:t xml:space="preserve">            </w:t>
            </w:r>
            <w:r w:rsidR="008A16F7">
              <w:t>9,504,000.00</w:t>
            </w:r>
          </w:p>
        </w:tc>
        <w:tc>
          <w:tcPr>
            <w:tcW w:w="2790" w:type="dxa"/>
          </w:tcPr>
          <w:p w14:paraId="7046ECD1" w14:textId="74886A0F" w:rsidR="008A16F7" w:rsidRPr="00673C78" w:rsidRDefault="008F642B" w:rsidP="00D92C2E">
            <w:pPr>
              <w:pStyle w:val="BodyText"/>
              <w:spacing w:before="200" w:line="276" w:lineRule="auto"/>
              <w:ind w:right="117"/>
            </w:pPr>
            <w:r>
              <w:t xml:space="preserve">                  </w:t>
            </w:r>
            <w:r w:rsidR="008A16F7">
              <w:t>5,841,979.63</w:t>
            </w:r>
          </w:p>
        </w:tc>
        <w:tc>
          <w:tcPr>
            <w:tcW w:w="3060" w:type="dxa"/>
          </w:tcPr>
          <w:p w14:paraId="6BF7FA58" w14:textId="522F88BF" w:rsidR="008A16F7" w:rsidRPr="00673C78" w:rsidRDefault="007412ED" w:rsidP="00D92C2E">
            <w:pPr>
              <w:pStyle w:val="BodyText"/>
              <w:spacing w:before="200" w:line="276" w:lineRule="auto"/>
              <w:ind w:right="117"/>
            </w:pPr>
            <w:r>
              <w:t xml:space="preserve">                      </w:t>
            </w:r>
            <w:r w:rsidR="008A16F7">
              <w:t>3,662,020.37</w:t>
            </w:r>
          </w:p>
        </w:tc>
      </w:tr>
      <w:tr w:rsidR="008A16F7" w14:paraId="47500AD6" w14:textId="77777777" w:rsidTr="008A16F7">
        <w:tc>
          <w:tcPr>
            <w:tcW w:w="1345" w:type="dxa"/>
          </w:tcPr>
          <w:p w14:paraId="350AAE98" w14:textId="77777777" w:rsidR="008A16F7" w:rsidRPr="00673C78" w:rsidRDefault="008A16F7" w:rsidP="008A16F7">
            <w:pPr>
              <w:pStyle w:val="BodyText"/>
              <w:spacing w:before="200" w:line="276" w:lineRule="auto"/>
              <w:ind w:right="117"/>
              <w:jc w:val="center"/>
            </w:pPr>
            <w:r>
              <w:t>2026</w:t>
            </w:r>
          </w:p>
        </w:tc>
        <w:tc>
          <w:tcPr>
            <w:tcW w:w="2520" w:type="dxa"/>
          </w:tcPr>
          <w:p w14:paraId="75D8DE79" w14:textId="09DC9950" w:rsidR="008A16F7" w:rsidRPr="00673C78" w:rsidRDefault="008F642B" w:rsidP="00D92C2E">
            <w:pPr>
              <w:pStyle w:val="BodyText"/>
              <w:spacing w:before="200" w:line="276" w:lineRule="auto"/>
              <w:ind w:right="117"/>
            </w:pPr>
            <w:r>
              <w:t xml:space="preserve">          </w:t>
            </w:r>
            <w:r w:rsidR="008A16F7">
              <w:t>11,404,800.00</w:t>
            </w:r>
          </w:p>
        </w:tc>
        <w:tc>
          <w:tcPr>
            <w:tcW w:w="2790" w:type="dxa"/>
          </w:tcPr>
          <w:p w14:paraId="1BDBBF52" w14:textId="47852FD6" w:rsidR="008A16F7" w:rsidRPr="00673C78" w:rsidRDefault="008F642B" w:rsidP="00D92C2E">
            <w:pPr>
              <w:pStyle w:val="BodyText"/>
              <w:spacing w:before="200" w:line="276" w:lineRule="auto"/>
              <w:ind w:right="117"/>
            </w:pPr>
            <w:r>
              <w:t xml:space="preserve">                  </w:t>
            </w:r>
            <w:r w:rsidR="008A16F7">
              <w:t>5,844,816.92</w:t>
            </w:r>
          </w:p>
        </w:tc>
        <w:tc>
          <w:tcPr>
            <w:tcW w:w="3060" w:type="dxa"/>
          </w:tcPr>
          <w:p w14:paraId="58476DE7" w14:textId="50449593" w:rsidR="008A16F7" w:rsidRPr="00673C78" w:rsidRDefault="007412ED" w:rsidP="00D92C2E">
            <w:pPr>
              <w:pStyle w:val="BodyText"/>
              <w:spacing w:before="200" w:line="276" w:lineRule="auto"/>
              <w:ind w:right="117"/>
            </w:pPr>
            <w:r>
              <w:t xml:space="preserve">                      </w:t>
            </w:r>
            <w:r w:rsidR="008A16F7">
              <w:t>5,559,983.08</w:t>
            </w:r>
          </w:p>
        </w:tc>
      </w:tr>
      <w:tr w:rsidR="008A16F7" w14:paraId="7D174AFE" w14:textId="77777777" w:rsidTr="008A16F7">
        <w:tc>
          <w:tcPr>
            <w:tcW w:w="1345" w:type="dxa"/>
          </w:tcPr>
          <w:p w14:paraId="64BC9E5D" w14:textId="77777777" w:rsidR="008A16F7" w:rsidRDefault="008A16F7" w:rsidP="008A16F7">
            <w:pPr>
              <w:pStyle w:val="BodyText"/>
              <w:spacing w:before="200" w:line="276" w:lineRule="auto"/>
              <w:ind w:right="117"/>
              <w:jc w:val="center"/>
            </w:pPr>
            <w:r>
              <w:t>2027</w:t>
            </w:r>
          </w:p>
        </w:tc>
        <w:tc>
          <w:tcPr>
            <w:tcW w:w="2520" w:type="dxa"/>
          </w:tcPr>
          <w:p w14:paraId="331441D5" w14:textId="737DB0F3" w:rsidR="008A16F7" w:rsidRPr="00673C78" w:rsidRDefault="008F642B" w:rsidP="00D92C2E">
            <w:pPr>
              <w:pStyle w:val="BodyText"/>
              <w:spacing w:before="200" w:line="276" w:lineRule="auto"/>
              <w:ind w:right="117"/>
            </w:pPr>
            <w:r>
              <w:t xml:space="preserve">           </w:t>
            </w:r>
            <w:r w:rsidR="008A16F7">
              <w:t>13,685,760.00</w:t>
            </w:r>
          </w:p>
        </w:tc>
        <w:tc>
          <w:tcPr>
            <w:tcW w:w="2790" w:type="dxa"/>
          </w:tcPr>
          <w:p w14:paraId="2B2E5F5F" w14:textId="29E8E7C9" w:rsidR="008A16F7" w:rsidRPr="00673C78" w:rsidRDefault="008F642B" w:rsidP="00D92C2E">
            <w:pPr>
              <w:pStyle w:val="BodyText"/>
              <w:spacing w:before="200" w:line="276" w:lineRule="auto"/>
              <w:ind w:right="117"/>
            </w:pPr>
            <w:r>
              <w:t xml:space="preserve">                  </w:t>
            </w:r>
            <w:r w:rsidR="008A16F7">
              <w:t>5,844,816.92</w:t>
            </w:r>
          </w:p>
        </w:tc>
        <w:tc>
          <w:tcPr>
            <w:tcW w:w="3060" w:type="dxa"/>
          </w:tcPr>
          <w:p w14:paraId="2D0D94EE" w14:textId="15112505" w:rsidR="008A16F7" w:rsidRPr="00673C78" w:rsidRDefault="007412ED" w:rsidP="00D92C2E">
            <w:pPr>
              <w:pStyle w:val="BodyText"/>
              <w:spacing w:before="200" w:line="276" w:lineRule="auto"/>
              <w:ind w:right="117"/>
            </w:pPr>
            <w:r>
              <w:t xml:space="preserve">                      </w:t>
            </w:r>
            <w:r w:rsidR="008A16F7">
              <w:t>7,840,943.08</w:t>
            </w:r>
          </w:p>
        </w:tc>
      </w:tr>
    </w:tbl>
    <w:p w14:paraId="487FF67A" w14:textId="77777777" w:rsidR="008A16F7" w:rsidRDefault="008A16F7" w:rsidP="00D30940">
      <w:pPr>
        <w:pStyle w:val="BodyText"/>
        <w:spacing w:before="200" w:line="276" w:lineRule="auto"/>
        <w:ind w:right="117"/>
        <w:jc w:val="both"/>
        <w:rPr>
          <w:b/>
          <w:bCs/>
        </w:rPr>
      </w:pPr>
    </w:p>
    <w:p w14:paraId="062AD80D" w14:textId="77777777" w:rsidR="008A16F7" w:rsidRDefault="008A16F7" w:rsidP="00D30940">
      <w:pPr>
        <w:pStyle w:val="BodyText"/>
        <w:spacing w:before="200" w:line="276" w:lineRule="auto"/>
        <w:ind w:right="117"/>
        <w:jc w:val="both"/>
        <w:rPr>
          <w:b/>
          <w:bCs/>
        </w:rPr>
      </w:pPr>
    </w:p>
    <w:p w14:paraId="3439381B" w14:textId="137B313B" w:rsidR="00DD4FA2" w:rsidRPr="00DD4FA2" w:rsidRDefault="00DD4FA2" w:rsidP="00591613">
      <w:pPr>
        <w:pStyle w:val="BodyText"/>
        <w:spacing w:before="200" w:line="276" w:lineRule="auto"/>
        <w:ind w:right="117" w:firstLine="720"/>
        <w:jc w:val="both"/>
      </w:pPr>
      <w:r w:rsidRPr="00DD4FA2">
        <w:t>Th</w:t>
      </w:r>
      <w:r w:rsidR="00591613">
        <w:t>e</w:t>
      </w:r>
      <w:r w:rsidRPr="00DD4FA2">
        <w:t xml:space="preserve"> table </w:t>
      </w:r>
      <w:r w:rsidR="00591613">
        <w:t xml:space="preserve">above </w:t>
      </w:r>
      <w:r w:rsidRPr="00DD4FA2">
        <w:t>represents the projected financial performance over a five-year period. The first column denotes the year, the second column shows the revenue generated for each respective year, the third column illustrates the expenses incurred, and the fourth column displays the net income calculated by subtracting the expenses from the revenue.</w:t>
      </w:r>
    </w:p>
    <w:p w14:paraId="6C42EE4C" w14:textId="73FBC9D5" w:rsidR="00913946" w:rsidRPr="00DD4FA2" w:rsidRDefault="00DD4FA2" w:rsidP="00591613">
      <w:pPr>
        <w:pStyle w:val="BodyText"/>
        <w:spacing w:before="200" w:line="276" w:lineRule="auto"/>
        <w:ind w:right="117" w:firstLine="720"/>
        <w:jc w:val="both"/>
      </w:pPr>
      <w:r w:rsidRPr="00DD4FA2">
        <w:t xml:space="preserve">In 2023, the revenue </w:t>
      </w:r>
      <w:r w:rsidR="00591613">
        <w:t>will be expected to amount</w:t>
      </w:r>
      <w:r w:rsidRPr="00DD4FA2">
        <w:t xml:space="preserve"> to </w:t>
      </w:r>
      <w:r w:rsidR="00591613">
        <w:t>P</w:t>
      </w:r>
      <w:r w:rsidRPr="00DD4FA2">
        <w:t xml:space="preserve">,600,000.00 with expenses totaling </w:t>
      </w:r>
      <w:r w:rsidR="00591613">
        <w:t>P</w:t>
      </w:r>
      <w:r w:rsidRPr="00DD4FA2">
        <w:t xml:space="preserve">6,095,938.97, resulting in a net income of </w:t>
      </w:r>
      <w:r w:rsidR="00591613">
        <w:t>P</w:t>
      </w:r>
      <w:r w:rsidRPr="00DD4FA2">
        <w:t xml:space="preserve">504,061.03. Moving to 2024, revenue increased to </w:t>
      </w:r>
      <w:r w:rsidR="00D92C2E">
        <w:t>P</w:t>
      </w:r>
      <w:r w:rsidRPr="00DD4FA2">
        <w:t xml:space="preserve">7,920,000.00 while expenses remained relatively steady at </w:t>
      </w:r>
      <w:r w:rsidR="00D92C2E">
        <w:t>P</w:t>
      </w:r>
      <w:r w:rsidRPr="00DD4FA2">
        <w:t xml:space="preserve">5,857,300.99, leading to a higher net income of </w:t>
      </w:r>
      <w:r w:rsidR="00D92C2E">
        <w:t>P</w:t>
      </w:r>
      <w:r w:rsidRPr="00DD4FA2">
        <w:t xml:space="preserve">2,062,699.01. The trend continues with a rise in both revenue and net income in 2025, reaching </w:t>
      </w:r>
      <w:r w:rsidR="00D92C2E">
        <w:t>P</w:t>
      </w:r>
      <w:r w:rsidRPr="00DD4FA2">
        <w:t xml:space="preserve">9,504,000.00 and </w:t>
      </w:r>
      <w:r w:rsidR="00D92C2E">
        <w:t>P</w:t>
      </w:r>
      <w:r w:rsidRPr="00DD4FA2">
        <w:t xml:space="preserve">3,662,020.37, respectively, while expenses stayed around </w:t>
      </w:r>
      <w:r w:rsidR="00D92C2E">
        <w:t>P</w:t>
      </w:r>
      <w:r w:rsidRPr="00DD4FA2">
        <w:t xml:space="preserve">5,841,979.63. In 2026, revenue climbed to $11,404,800.00, expenses remained consistent at </w:t>
      </w:r>
      <w:r w:rsidR="00D92C2E">
        <w:t>P</w:t>
      </w:r>
      <w:r w:rsidRPr="00DD4FA2">
        <w:t xml:space="preserve">5,844,816.92, resulting in a net income of </w:t>
      </w:r>
      <w:r w:rsidR="00D92C2E">
        <w:t>P</w:t>
      </w:r>
      <w:r w:rsidRPr="00DD4FA2">
        <w:t xml:space="preserve">5,559,983.08. Finally, by 2027, revenue increased to </w:t>
      </w:r>
      <w:r w:rsidR="00D92C2E">
        <w:t>P</w:t>
      </w:r>
      <w:r w:rsidRPr="00DD4FA2">
        <w:t xml:space="preserve">13,685,760.00, with expenses remaining the same at </w:t>
      </w:r>
      <w:r w:rsidR="00D92C2E">
        <w:t>P</w:t>
      </w:r>
      <w:r w:rsidRPr="00DD4FA2">
        <w:t xml:space="preserve">5,844,816.92, yielding a net income of </w:t>
      </w:r>
      <w:r w:rsidR="00D92C2E">
        <w:t>P</w:t>
      </w:r>
      <w:r w:rsidRPr="00DD4FA2">
        <w:t>7,840,943.08. Overall, the data indicates a positive trend of increasing revenue, maintaining expenses, and steadily growing net income over the specified period.</w:t>
      </w:r>
    </w:p>
    <w:p w14:paraId="3CD28329" w14:textId="77777777" w:rsidR="00E153C8" w:rsidRPr="00DD4FA2" w:rsidRDefault="00E153C8" w:rsidP="00D30940">
      <w:pPr>
        <w:pStyle w:val="BodyText"/>
        <w:spacing w:before="200" w:line="276" w:lineRule="auto"/>
        <w:ind w:right="117"/>
        <w:jc w:val="both"/>
      </w:pPr>
    </w:p>
    <w:p w14:paraId="2B8101F2" w14:textId="77777777" w:rsidR="00E153C8" w:rsidRPr="00DD4FA2" w:rsidRDefault="00E153C8" w:rsidP="00D30940">
      <w:pPr>
        <w:pStyle w:val="BodyText"/>
        <w:spacing w:before="200" w:line="276" w:lineRule="auto"/>
        <w:ind w:right="117"/>
        <w:jc w:val="both"/>
      </w:pPr>
    </w:p>
    <w:p w14:paraId="096DC6D2" w14:textId="77777777" w:rsidR="00913946" w:rsidRPr="00DD4FA2" w:rsidRDefault="00913946" w:rsidP="00D30940">
      <w:pPr>
        <w:pStyle w:val="BodyText"/>
        <w:spacing w:before="200" w:line="276" w:lineRule="auto"/>
        <w:ind w:right="117"/>
        <w:jc w:val="both"/>
      </w:pPr>
    </w:p>
    <w:p w14:paraId="33B7343B" w14:textId="77777777" w:rsidR="00913946" w:rsidRPr="00DD4FA2" w:rsidRDefault="00913946" w:rsidP="00D30940">
      <w:pPr>
        <w:pStyle w:val="BodyText"/>
        <w:spacing w:before="200" w:line="276" w:lineRule="auto"/>
        <w:ind w:right="117"/>
        <w:jc w:val="both"/>
      </w:pPr>
    </w:p>
    <w:p w14:paraId="51F915EC" w14:textId="77777777" w:rsidR="00913946" w:rsidRPr="00DD4FA2" w:rsidRDefault="00913946" w:rsidP="00D30940">
      <w:pPr>
        <w:pStyle w:val="BodyText"/>
        <w:spacing w:before="200" w:line="276" w:lineRule="auto"/>
        <w:ind w:right="117"/>
        <w:jc w:val="both"/>
      </w:pPr>
    </w:p>
    <w:p w14:paraId="0EDDBCD9" w14:textId="77777777" w:rsidR="00913946" w:rsidRPr="00DD4FA2" w:rsidRDefault="00913946" w:rsidP="00D30940">
      <w:pPr>
        <w:pStyle w:val="BodyText"/>
        <w:spacing w:before="200" w:line="276" w:lineRule="auto"/>
        <w:ind w:right="117"/>
        <w:jc w:val="both"/>
      </w:pPr>
    </w:p>
    <w:p w14:paraId="535ECC05" w14:textId="77777777" w:rsidR="00913946" w:rsidRPr="00DD4FA2" w:rsidRDefault="00913946" w:rsidP="00D30940">
      <w:pPr>
        <w:pStyle w:val="BodyText"/>
        <w:spacing w:before="200" w:line="276" w:lineRule="auto"/>
        <w:ind w:right="117"/>
        <w:jc w:val="both"/>
      </w:pPr>
    </w:p>
    <w:p w14:paraId="19C5807B" w14:textId="77777777" w:rsidR="00913946" w:rsidRPr="00DD4FA2" w:rsidRDefault="00913946" w:rsidP="00D30940">
      <w:pPr>
        <w:pStyle w:val="BodyText"/>
        <w:spacing w:before="200" w:line="276" w:lineRule="auto"/>
        <w:ind w:right="117"/>
        <w:jc w:val="both"/>
      </w:pPr>
    </w:p>
    <w:p w14:paraId="23A326AB" w14:textId="77777777" w:rsidR="00913946" w:rsidRPr="00DD4FA2" w:rsidRDefault="00913946" w:rsidP="00D30940">
      <w:pPr>
        <w:pStyle w:val="BodyText"/>
        <w:spacing w:before="200" w:line="276" w:lineRule="auto"/>
        <w:ind w:right="117"/>
        <w:jc w:val="both"/>
      </w:pPr>
    </w:p>
    <w:p w14:paraId="7196F018" w14:textId="77777777" w:rsidR="00913946" w:rsidRPr="00DD4FA2" w:rsidRDefault="00913946" w:rsidP="00D30940">
      <w:pPr>
        <w:pStyle w:val="BodyText"/>
        <w:spacing w:before="200" w:line="276" w:lineRule="auto"/>
        <w:ind w:right="117"/>
        <w:jc w:val="both"/>
      </w:pPr>
    </w:p>
    <w:p w14:paraId="14D8DEBA" w14:textId="77777777" w:rsidR="00913946" w:rsidRPr="00DD4FA2" w:rsidRDefault="00913946" w:rsidP="00D30940">
      <w:pPr>
        <w:pStyle w:val="BodyText"/>
        <w:spacing w:before="200" w:line="276" w:lineRule="auto"/>
        <w:ind w:right="117"/>
        <w:jc w:val="both"/>
      </w:pPr>
    </w:p>
    <w:p w14:paraId="1BDB66BF" w14:textId="77777777" w:rsidR="00913946" w:rsidRPr="00DD4FA2" w:rsidRDefault="00913946" w:rsidP="00D30940">
      <w:pPr>
        <w:pStyle w:val="BodyText"/>
        <w:spacing w:before="200" w:line="276" w:lineRule="auto"/>
        <w:ind w:right="117"/>
        <w:jc w:val="both"/>
      </w:pPr>
    </w:p>
    <w:p w14:paraId="136E7C1A" w14:textId="77777777" w:rsidR="00913946" w:rsidRPr="00DD4FA2" w:rsidRDefault="00913946" w:rsidP="00D30940">
      <w:pPr>
        <w:pStyle w:val="BodyText"/>
        <w:spacing w:before="200" w:line="276" w:lineRule="auto"/>
        <w:ind w:right="117"/>
        <w:jc w:val="both"/>
      </w:pPr>
    </w:p>
    <w:p w14:paraId="3D91693A" w14:textId="77777777" w:rsidR="00913946" w:rsidRDefault="00913946" w:rsidP="00D30940">
      <w:pPr>
        <w:pStyle w:val="BodyText"/>
        <w:spacing w:before="200" w:line="276" w:lineRule="auto"/>
        <w:ind w:right="117"/>
        <w:jc w:val="both"/>
        <w:rPr>
          <w:b/>
          <w:bCs/>
        </w:rPr>
      </w:pPr>
    </w:p>
    <w:p w14:paraId="2C29BB16" w14:textId="77777777" w:rsidR="00913946" w:rsidRDefault="00913946" w:rsidP="00D30940">
      <w:pPr>
        <w:pStyle w:val="BodyText"/>
        <w:spacing w:before="200" w:line="276" w:lineRule="auto"/>
        <w:ind w:right="117"/>
        <w:jc w:val="both"/>
        <w:rPr>
          <w:b/>
          <w:bCs/>
        </w:rPr>
      </w:pPr>
    </w:p>
    <w:p w14:paraId="76C76E78" w14:textId="77777777" w:rsidR="00913946" w:rsidRDefault="00913946" w:rsidP="00D30940">
      <w:pPr>
        <w:pStyle w:val="BodyText"/>
        <w:spacing w:before="200" w:line="276" w:lineRule="auto"/>
        <w:ind w:right="117"/>
        <w:jc w:val="both"/>
        <w:rPr>
          <w:b/>
          <w:bCs/>
        </w:rPr>
      </w:pPr>
    </w:p>
    <w:p w14:paraId="4CB3499A" w14:textId="356ECD51" w:rsidR="008113F5" w:rsidRDefault="00E9014D" w:rsidP="00D30940">
      <w:pPr>
        <w:pStyle w:val="BodyText"/>
        <w:spacing w:before="200" w:line="276" w:lineRule="auto"/>
        <w:ind w:right="117"/>
        <w:jc w:val="both"/>
      </w:pPr>
      <w:r>
        <w:rPr>
          <w:b/>
          <w:bCs/>
        </w:rPr>
        <w:t>SOCIO ECONOMIC ASPECT</w:t>
      </w:r>
    </w:p>
    <w:p w14:paraId="7831F4A6" w14:textId="2223A58A" w:rsidR="00D30940" w:rsidRDefault="000D14B2" w:rsidP="00680E8C">
      <w:pPr>
        <w:pStyle w:val="BodyText"/>
        <w:spacing w:before="200" w:line="276" w:lineRule="auto"/>
        <w:ind w:right="117" w:firstLine="720"/>
        <w:jc w:val="both"/>
      </w:pPr>
      <w:r>
        <w:t>This comprehensive report meticulously examines the socio-economic implications of establishing HAMIROJO Clothing. It dissects the potential impacts on the local community, economy, cultural landscape, and ethical considerations. By evaluating the ripple effects of this venture, it aims to provide a nuanced understanding of how it could shape the community’s economic dynamics, cultural identity, and ethical practices. This assessment not only delves into the economic facets, such as job creation and revenue generation but also scrutinizes the potential influence on local traditions and societal norms. Ultimately, the report seeks to equip stakeholders with valuable insights to navigate the potential opportunities and challenges presented by integrating such a business into the local socio-economic milieu.</w:t>
      </w:r>
    </w:p>
    <w:p w14:paraId="24FF1644" w14:textId="355B3364" w:rsidR="000D14B2" w:rsidRPr="00070E26" w:rsidRDefault="00070E26" w:rsidP="00B31186">
      <w:pPr>
        <w:pStyle w:val="BodyText"/>
        <w:numPr>
          <w:ilvl w:val="0"/>
          <w:numId w:val="4"/>
        </w:numPr>
        <w:spacing w:before="200" w:line="276" w:lineRule="auto"/>
        <w:ind w:right="117"/>
        <w:jc w:val="both"/>
        <w:rPr>
          <w:i/>
          <w:iCs/>
        </w:rPr>
      </w:pPr>
      <w:r w:rsidRPr="00070E26">
        <w:rPr>
          <w:i/>
          <w:iCs/>
        </w:rPr>
        <w:t xml:space="preserve">Generating employment </w:t>
      </w:r>
    </w:p>
    <w:p w14:paraId="09111C83" w14:textId="71148FBE" w:rsidR="003279C4" w:rsidRDefault="00070E26" w:rsidP="003279C4">
      <w:pPr>
        <w:pStyle w:val="BodyText"/>
        <w:spacing w:before="200" w:line="276" w:lineRule="auto"/>
        <w:ind w:left="360" w:right="117"/>
        <w:jc w:val="both"/>
      </w:pPr>
      <w:r>
        <w:t>This startup stands poised to be a catalyst for employment generation within the community. Through its commitment to sourcing local talent across diverse sectors including design, production, marketing, and customer service, the venture anticipates a tangible reduction in unemployment rates. By creating these varied job opportunities, it not only addresses immediate employment needs but also actively contributes to the broader framework of local economic development. The strategic alignment of job roles within the startup is envisioned to foster skill development and economic empowerment among the local workforce. Ultimately, this concerted effort towards employment generation positions the startup as a pivotal contributor to the socio-economic fabric of the community.</w:t>
      </w:r>
    </w:p>
    <w:p w14:paraId="46F97415" w14:textId="51BDC3EA" w:rsidR="003279C4" w:rsidRDefault="00B842E4" w:rsidP="003279C4">
      <w:pPr>
        <w:pStyle w:val="BodyText"/>
        <w:numPr>
          <w:ilvl w:val="0"/>
          <w:numId w:val="4"/>
        </w:numPr>
        <w:spacing w:before="200" w:line="276" w:lineRule="auto"/>
        <w:ind w:right="117"/>
        <w:jc w:val="both"/>
        <w:rPr>
          <w:i/>
          <w:iCs/>
        </w:rPr>
      </w:pPr>
      <w:r w:rsidRPr="000D3D6E">
        <w:rPr>
          <w:i/>
          <w:iCs/>
        </w:rPr>
        <w:t xml:space="preserve">Local </w:t>
      </w:r>
      <w:r w:rsidR="000D3D6E" w:rsidRPr="000D3D6E">
        <w:rPr>
          <w:i/>
          <w:iCs/>
        </w:rPr>
        <w:t xml:space="preserve">Economic Growth </w:t>
      </w:r>
    </w:p>
    <w:p w14:paraId="2729722E" w14:textId="0D7CB379" w:rsidR="000D14B2" w:rsidRDefault="000D3D6E" w:rsidP="000D3D6E">
      <w:pPr>
        <w:pStyle w:val="BodyText"/>
        <w:spacing w:before="200" w:line="276" w:lineRule="auto"/>
        <w:ind w:left="360" w:right="117"/>
        <w:jc w:val="both"/>
      </w:pPr>
      <w:r w:rsidRPr="000D3D6E">
        <w:t>The business has a strategic vision to invigorate economic growth through a localized approach, sourcing materials from nearby suppliers. By nurturing these regional relationships and actively engaging local suppliers, the venture not only ensures a steady supply chain but also cultivates a symbiotic ecosystem that bolsters the local economy. Additionally, the commitment to sourcing locally contributes directly to the expansion of the local tax base, further fortifying economic stability. This approach not only strengthens the business's operational resilience but also underscores its commitment to fostering sustainable regional development and bolstering the economic vitality of the community.</w:t>
      </w:r>
    </w:p>
    <w:p w14:paraId="7CBFAF74" w14:textId="67F6D548" w:rsidR="001C3D5E" w:rsidRPr="005F4EF6" w:rsidRDefault="005F4EF6" w:rsidP="001C3D5E">
      <w:pPr>
        <w:pStyle w:val="BodyText"/>
        <w:numPr>
          <w:ilvl w:val="0"/>
          <w:numId w:val="4"/>
        </w:numPr>
        <w:spacing w:before="200" w:line="276" w:lineRule="auto"/>
        <w:ind w:right="117"/>
        <w:jc w:val="both"/>
        <w:rPr>
          <w:i/>
          <w:iCs/>
        </w:rPr>
      </w:pPr>
      <w:r>
        <w:rPr>
          <w:i/>
          <w:iCs/>
        </w:rPr>
        <w:t>Develop Skills</w:t>
      </w:r>
    </w:p>
    <w:p w14:paraId="40002EA8" w14:textId="688DB92D" w:rsidR="005F4EF6" w:rsidRDefault="005F4EF6" w:rsidP="00EE418C">
      <w:pPr>
        <w:pStyle w:val="BodyText"/>
        <w:spacing w:before="200" w:line="276" w:lineRule="auto"/>
        <w:ind w:left="360" w:right="117"/>
        <w:jc w:val="both"/>
      </w:pPr>
      <w:r w:rsidRPr="005F4EF6">
        <w:t xml:space="preserve">The venture has outlined a strategic initiative focused on skill development through comprehensive training programs. These programs are specifically designed to equip individuals with specialized expertise in printing, design, and customer service, thereby fostering a skilled workforce within the community. The primary objective of this </w:t>
      </w:r>
      <w:r w:rsidRPr="005F4EF6">
        <w:lastRenderedPageBreak/>
        <w:t>initiative is to augment employability by offering individuals avenues to acquire diverse skill sets essential in the contemporary market landscape. By empowering community members with these specialized skills, the venture not only enhances individual prospects but also contributes significantly to the overall diversification and enrichment of skill sets within the local populace. Ultimately, this emphasis on skill development stands as a testament to the venture's commitment to nurturing a competent and adaptable workforce that can thrive in various sectors.</w:t>
      </w:r>
    </w:p>
    <w:p w14:paraId="3FCB8121" w14:textId="414FF4EF" w:rsidR="00EE418C" w:rsidRDefault="00F94E2E" w:rsidP="00EE418C">
      <w:pPr>
        <w:pStyle w:val="BodyText"/>
        <w:numPr>
          <w:ilvl w:val="0"/>
          <w:numId w:val="4"/>
        </w:numPr>
        <w:spacing w:before="200" w:line="276" w:lineRule="auto"/>
        <w:ind w:right="117"/>
        <w:jc w:val="both"/>
        <w:rPr>
          <w:i/>
          <w:iCs/>
        </w:rPr>
      </w:pPr>
      <w:r>
        <w:rPr>
          <w:i/>
          <w:iCs/>
        </w:rPr>
        <w:t>Cultural Impact</w:t>
      </w:r>
    </w:p>
    <w:p w14:paraId="10E376F5" w14:textId="4B51EA19" w:rsidR="00F94E2E" w:rsidRDefault="00F94E2E" w:rsidP="00F94E2E">
      <w:pPr>
        <w:pStyle w:val="BodyText"/>
        <w:spacing w:before="200" w:line="276" w:lineRule="auto"/>
        <w:ind w:left="360" w:right="117"/>
        <w:jc w:val="both"/>
      </w:pPr>
      <w:r>
        <w:t>The</w:t>
      </w:r>
      <w:r w:rsidRPr="00F94E2E">
        <w:t xml:space="preserve"> customization element within the clothing business mirrors not just individual preferences but also encompasses broader cultural values and societal trends. A profound comprehension of these intricate factors holds the key to understanding and influencing consumer behavior. Moreover, this understanding contributes significantly to the portrayal of cultural expression and the celebration of diversity within the market landscape. By embracing and responding to these factors, the business is poised not just to meet consumer needs but also to foster a vibrant marketplace that resonates with varied cultural nuances and individual expressions, ultimately contributing to a more inclusive and diverse market environment.</w:t>
      </w:r>
    </w:p>
    <w:p w14:paraId="243B28F1" w14:textId="5D7A4AAA" w:rsidR="00E6318A" w:rsidRPr="00E92402" w:rsidRDefault="00CB7E88" w:rsidP="00E6318A">
      <w:pPr>
        <w:pStyle w:val="BodyText"/>
        <w:numPr>
          <w:ilvl w:val="0"/>
          <w:numId w:val="4"/>
        </w:numPr>
        <w:spacing w:before="200" w:line="276" w:lineRule="auto"/>
        <w:ind w:right="117"/>
        <w:jc w:val="both"/>
        <w:rPr>
          <w:i/>
          <w:iCs/>
        </w:rPr>
      </w:pPr>
      <w:r>
        <w:rPr>
          <w:i/>
          <w:iCs/>
        </w:rPr>
        <w:t xml:space="preserve">Inclusivity of </w:t>
      </w:r>
      <w:r w:rsidR="00E92402">
        <w:rPr>
          <w:i/>
          <w:iCs/>
        </w:rPr>
        <w:t>the Market</w:t>
      </w:r>
    </w:p>
    <w:p w14:paraId="0B55C847" w14:textId="74F0F1C7" w:rsidR="00E92402" w:rsidRPr="00E6318A" w:rsidRDefault="00E92402" w:rsidP="00E92402">
      <w:pPr>
        <w:pStyle w:val="BodyText"/>
        <w:spacing w:before="200" w:line="276" w:lineRule="auto"/>
        <w:ind w:left="360" w:right="117"/>
        <w:jc w:val="both"/>
        <w:rPr>
          <w:i/>
          <w:iCs/>
        </w:rPr>
      </w:pPr>
      <w:r>
        <w:t>The business is steadfast in its mission to democratize customized clothing, ensuring accessibility across diverse customer segments. By embracing and celebrating various body types, sizes, and individual preferences, this inclusive approach stands as a testament to its commitment to fostering diversity. Moreover, this initiative goes beyond mere accessibility, actively promoting an environment where every customer feels valued and catered to, irrespective of their unique characteristics. Ultimately, this commitment not only broadens market accessibility but also paves the way for a more inclusive and representative industry landscape that resonates with the diverse tapestry of consumer preferences and identities.</w:t>
      </w:r>
    </w:p>
    <w:sectPr w:rsidR="00E92402" w:rsidRPr="00E6318A">
      <w:pgSz w:w="12240" w:h="15840"/>
      <w:pgMar w:top="2160" w:right="1320" w:bottom="280" w:left="1340" w:header="49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75AD9" w14:textId="77777777" w:rsidR="00737341" w:rsidRDefault="00737341">
      <w:r>
        <w:separator/>
      </w:r>
    </w:p>
  </w:endnote>
  <w:endnote w:type="continuationSeparator" w:id="0">
    <w:p w14:paraId="1043FB4D" w14:textId="77777777" w:rsidR="00737341" w:rsidRDefault="00737341">
      <w:r>
        <w:continuationSeparator/>
      </w:r>
    </w:p>
  </w:endnote>
  <w:endnote w:type="continuationNotice" w:id="1">
    <w:p w14:paraId="3A145568" w14:textId="77777777" w:rsidR="009E7FA3" w:rsidRDefault="009E7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593168"/>
      <w:docPartObj>
        <w:docPartGallery w:val="Page Numbers (Bottom of Page)"/>
        <w:docPartUnique/>
      </w:docPartObj>
    </w:sdtPr>
    <w:sdtEndPr>
      <w:rPr>
        <w:noProof/>
      </w:rPr>
    </w:sdtEndPr>
    <w:sdtContent>
      <w:p w14:paraId="2AF2D15D" w14:textId="3C6753EF" w:rsidR="00EA7B71" w:rsidRDefault="00EA7B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A79AC" w14:textId="77777777" w:rsidR="00EA7B71" w:rsidRDefault="00EA7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16A5" w14:textId="77777777" w:rsidR="00737341" w:rsidRDefault="00737341">
      <w:r>
        <w:separator/>
      </w:r>
    </w:p>
  </w:footnote>
  <w:footnote w:type="continuationSeparator" w:id="0">
    <w:p w14:paraId="3507C4ED" w14:textId="77777777" w:rsidR="00737341" w:rsidRDefault="00737341">
      <w:r>
        <w:continuationSeparator/>
      </w:r>
    </w:p>
  </w:footnote>
  <w:footnote w:type="continuationNotice" w:id="1">
    <w:p w14:paraId="7DFE35FF" w14:textId="77777777" w:rsidR="009E7FA3" w:rsidRDefault="009E7F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12F9B" w14:textId="77777777" w:rsidR="00602507" w:rsidRDefault="0062649E">
    <w:pPr>
      <w:pStyle w:val="BodyText"/>
      <w:spacing w:line="14" w:lineRule="auto"/>
      <w:rPr>
        <w:sz w:val="20"/>
      </w:rPr>
    </w:pPr>
    <w:r>
      <w:rPr>
        <w:noProof/>
      </w:rPr>
      <w:drawing>
        <wp:anchor distT="0" distB="0" distL="0" distR="0" simplePos="0" relativeHeight="251658240" behindDoc="1" locked="0" layoutInCell="1" allowOverlap="1" wp14:anchorId="18D4BF5F" wp14:editId="34BE5217">
          <wp:simplePos x="0" y="0"/>
          <wp:positionH relativeFrom="page">
            <wp:posOffset>5769609</wp:posOffset>
          </wp:positionH>
          <wp:positionV relativeFrom="page">
            <wp:posOffset>316229</wp:posOffset>
          </wp:positionV>
          <wp:extent cx="1040028" cy="105664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40028" cy="1056640"/>
                  </a:xfrm>
                  <a:prstGeom prst="rect">
                    <a:avLst/>
                  </a:prstGeom>
                </pic:spPr>
              </pic:pic>
            </a:graphicData>
          </a:graphic>
        </wp:anchor>
      </w:drawing>
    </w:r>
    <w:r>
      <w:rPr>
        <w:noProof/>
      </w:rPr>
      <w:drawing>
        <wp:anchor distT="0" distB="0" distL="0" distR="0" simplePos="0" relativeHeight="251658241" behindDoc="1" locked="0" layoutInCell="1" allowOverlap="1" wp14:anchorId="04600723" wp14:editId="72FE87D4">
          <wp:simplePos x="0" y="0"/>
          <wp:positionH relativeFrom="page">
            <wp:posOffset>777875</wp:posOffset>
          </wp:positionH>
          <wp:positionV relativeFrom="page">
            <wp:posOffset>367665</wp:posOffset>
          </wp:positionV>
          <wp:extent cx="999959" cy="991234"/>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999959" cy="991234"/>
                  </a:xfrm>
                  <a:prstGeom prst="rect">
                    <a:avLst/>
                  </a:prstGeom>
                </pic:spPr>
              </pic:pic>
            </a:graphicData>
          </a:graphic>
        </wp:anchor>
      </w:drawing>
    </w:r>
    <w:r>
      <w:rPr>
        <w:noProof/>
      </w:rPr>
      <mc:AlternateContent>
        <mc:Choice Requires="wps">
          <w:drawing>
            <wp:anchor distT="0" distB="0" distL="0" distR="0" simplePos="0" relativeHeight="251658242" behindDoc="1" locked="0" layoutInCell="1" allowOverlap="1" wp14:anchorId="29ADC01C" wp14:editId="09AFC1D3">
              <wp:simplePos x="0" y="0"/>
              <wp:positionH relativeFrom="page">
                <wp:posOffset>2590926</wp:posOffset>
              </wp:positionH>
              <wp:positionV relativeFrom="page">
                <wp:posOffset>443946</wp:posOffset>
              </wp:positionV>
              <wp:extent cx="2589530" cy="660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9530" cy="660400"/>
                      </a:xfrm>
                      <a:prstGeom prst="rect">
                        <a:avLst/>
                      </a:prstGeom>
                    </wps:spPr>
                    <wps:txbx>
                      <w:txbxContent>
                        <w:p w14:paraId="36AB725A" w14:textId="77777777" w:rsidR="00602507" w:rsidRDefault="0062649E">
                          <w:pPr>
                            <w:spacing w:before="20"/>
                            <w:ind w:left="728" w:right="720"/>
                            <w:jc w:val="center"/>
                          </w:pPr>
                          <w:r>
                            <w:t>Republic</w:t>
                          </w:r>
                          <w:r>
                            <w:rPr>
                              <w:spacing w:val="-14"/>
                            </w:rPr>
                            <w:t xml:space="preserve"> </w:t>
                          </w:r>
                          <w:r>
                            <w:t>of</w:t>
                          </w:r>
                          <w:r>
                            <w:rPr>
                              <w:spacing w:val="-11"/>
                            </w:rPr>
                            <w:t xml:space="preserve"> </w:t>
                          </w:r>
                          <w:r>
                            <w:t>the</w:t>
                          </w:r>
                          <w:r>
                            <w:rPr>
                              <w:spacing w:val="-10"/>
                            </w:rPr>
                            <w:t xml:space="preserve"> </w:t>
                          </w:r>
                          <w:r>
                            <w:t>Philippines Municipality of Subic KOLEHIYO NG SUBIC</w:t>
                          </w:r>
                        </w:p>
                        <w:p w14:paraId="6A4EB119" w14:textId="77777777" w:rsidR="00602507" w:rsidRDefault="0062649E">
                          <w:pPr>
                            <w:spacing w:line="249" w:lineRule="exact"/>
                            <w:ind w:left="20" w:right="20"/>
                            <w:jc w:val="center"/>
                          </w:pPr>
                          <w:r>
                            <w:t>BUSINESS</w:t>
                          </w:r>
                          <w:r>
                            <w:rPr>
                              <w:spacing w:val="-9"/>
                            </w:rPr>
                            <w:t xml:space="preserve"> </w:t>
                          </w:r>
                          <w:r>
                            <w:t>EDUCATION</w:t>
                          </w:r>
                          <w:r>
                            <w:rPr>
                              <w:spacing w:val="-10"/>
                            </w:rPr>
                            <w:t xml:space="preserve"> </w:t>
                          </w:r>
                          <w:r>
                            <w:rPr>
                              <w:spacing w:val="-2"/>
                            </w:rPr>
                            <w:t>DEPARTMENT</w:t>
                          </w:r>
                        </w:p>
                      </w:txbxContent>
                    </wps:txbx>
                    <wps:bodyPr wrap="square" lIns="0" tIns="0" rIns="0" bIns="0" rtlCol="0">
                      <a:noAutofit/>
                    </wps:bodyPr>
                  </wps:wsp>
                </a:graphicData>
              </a:graphic>
            </wp:anchor>
          </w:drawing>
        </mc:Choice>
        <mc:Fallback>
          <w:pict>
            <v:shapetype w14:anchorId="29ADC01C" id="_x0000_t202" coordsize="21600,21600" o:spt="202" path="m,l,21600r21600,l21600,xe">
              <v:stroke joinstyle="miter"/>
              <v:path gradientshapeok="t" o:connecttype="rect"/>
            </v:shapetype>
            <v:shape id="Text Box 3" o:spid="_x0000_s1026" type="#_x0000_t202" style="position:absolute;margin-left:204pt;margin-top:34.95pt;width:203.9pt;height:52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" filled="f" stroked="f">
              <v:textbox inset="0,0,0,0">
                <w:txbxContent>
                  <w:p w14:paraId="36AB725A" w14:textId="77777777" w:rsidR="00602507" w:rsidRDefault="0062649E">
                    <w:pPr>
                      <w:spacing w:before="20"/>
                      <w:ind w:left="728" w:right="720"/>
                      <w:jc w:val="center"/>
                    </w:pPr>
                    <w:r>
                      <w:t>Republic</w:t>
                    </w:r>
                    <w:r>
                      <w:rPr>
                        <w:spacing w:val="-14"/>
                      </w:rPr>
                      <w:t xml:space="preserve"> </w:t>
                    </w:r>
                    <w:r>
                      <w:t>of</w:t>
                    </w:r>
                    <w:r>
                      <w:rPr>
                        <w:spacing w:val="-11"/>
                      </w:rPr>
                      <w:t xml:space="preserve"> </w:t>
                    </w:r>
                    <w:r>
                      <w:t>the</w:t>
                    </w:r>
                    <w:r>
                      <w:rPr>
                        <w:spacing w:val="-10"/>
                      </w:rPr>
                      <w:t xml:space="preserve"> </w:t>
                    </w:r>
                    <w:r>
                      <w:t>Philippines Municipality of Subic KOLEHIYO NG SUBIC</w:t>
                    </w:r>
                  </w:p>
                  <w:p w14:paraId="6A4EB119" w14:textId="77777777" w:rsidR="00602507" w:rsidRDefault="0062649E">
                    <w:pPr>
                      <w:spacing w:line="249" w:lineRule="exact"/>
                      <w:ind w:left="20" w:right="20"/>
                      <w:jc w:val="center"/>
                    </w:pPr>
                    <w:r>
                      <w:t>BUSINESS</w:t>
                    </w:r>
                    <w:r>
                      <w:rPr>
                        <w:spacing w:val="-9"/>
                      </w:rPr>
                      <w:t xml:space="preserve"> </w:t>
                    </w:r>
                    <w:r>
                      <w:t>EDUCATION</w:t>
                    </w:r>
                    <w:r>
                      <w:rPr>
                        <w:spacing w:val="-10"/>
                      </w:rPr>
                      <w:t xml:space="preserve"> </w:t>
                    </w:r>
                    <w:r>
                      <w:rPr>
                        <w:spacing w:val="-2"/>
                      </w:rPr>
                      <w:t>DEPARTMENT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D5A"/>
    <w:multiLevelType w:val="hybridMultilevel"/>
    <w:tmpl w:val="CBC24B46"/>
    <w:lvl w:ilvl="0" w:tplc="3BD23774">
      <w:start w:val="1"/>
      <w:numFmt w:val="decimal"/>
      <w:lvlText w:val="%1."/>
      <w:lvlJc w:val="left"/>
      <w:pPr>
        <w:ind w:left="357" w:hanging="258"/>
      </w:pPr>
      <w:rPr>
        <w:rFonts w:ascii="Georgia" w:eastAsia="Georgia" w:hAnsi="Georgia" w:cs="Georgia" w:hint="default"/>
        <w:b/>
        <w:bCs/>
        <w:i w:val="0"/>
        <w:iCs w:val="0"/>
        <w:spacing w:val="-1"/>
        <w:w w:val="100"/>
        <w:sz w:val="24"/>
        <w:szCs w:val="24"/>
        <w:lang w:val="en-US" w:eastAsia="en-US" w:bidi="ar-SA"/>
      </w:rPr>
    </w:lvl>
    <w:lvl w:ilvl="1" w:tplc="CA0CCAD6">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194A7818">
      <w:numFmt w:val="bullet"/>
      <w:lvlText w:val="•"/>
      <w:lvlJc w:val="left"/>
      <w:pPr>
        <w:ind w:left="1793" w:hanging="360"/>
      </w:pPr>
      <w:rPr>
        <w:rFonts w:hint="default"/>
        <w:lang w:val="en-US" w:eastAsia="en-US" w:bidi="ar-SA"/>
      </w:rPr>
    </w:lvl>
    <w:lvl w:ilvl="3" w:tplc="906ADA8E">
      <w:numFmt w:val="bullet"/>
      <w:lvlText w:val="•"/>
      <w:lvlJc w:val="left"/>
      <w:pPr>
        <w:ind w:left="2766" w:hanging="360"/>
      </w:pPr>
      <w:rPr>
        <w:rFonts w:hint="default"/>
        <w:lang w:val="en-US" w:eastAsia="en-US" w:bidi="ar-SA"/>
      </w:rPr>
    </w:lvl>
    <w:lvl w:ilvl="4" w:tplc="174AE2B6">
      <w:numFmt w:val="bullet"/>
      <w:lvlText w:val="•"/>
      <w:lvlJc w:val="left"/>
      <w:pPr>
        <w:ind w:left="3740" w:hanging="360"/>
      </w:pPr>
      <w:rPr>
        <w:rFonts w:hint="default"/>
        <w:lang w:val="en-US" w:eastAsia="en-US" w:bidi="ar-SA"/>
      </w:rPr>
    </w:lvl>
    <w:lvl w:ilvl="5" w:tplc="EBFEFBCA">
      <w:numFmt w:val="bullet"/>
      <w:lvlText w:val="•"/>
      <w:lvlJc w:val="left"/>
      <w:pPr>
        <w:ind w:left="4713" w:hanging="360"/>
      </w:pPr>
      <w:rPr>
        <w:rFonts w:hint="default"/>
        <w:lang w:val="en-US" w:eastAsia="en-US" w:bidi="ar-SA"/>
      </w:rPr>
    </w:lvl>
    <w:lvl w:ilvl="6" w:tplc="11623DFC">
      <w:numFmt w:val="bullet"/>
      <w:lvlText w:val="•"/>
      <w:lvlJc w:val="left"/>
      <w:pPr>
        <w:ind w:left="5686" w:hanging="360"/>
      </w:pPr>
      <w:rPr>
        <w:rFonts w:hint="default"/>
        <w:lang w:val="en-US" w:eastAsia="en-US" w:bidi="ar-SA"/>
      </w:rPr>
    </w:lvl>
    <w:lvl w:ilvl="7" w:tplc="4D3C8468">
      <w:numFmt w:val="bullet"/>
      <w:lvlText w:val="•"/>
      <w:lvlJc w:val="left"/>
      <w:pPr>
        <w:ind w:left="6660" w:hanging="360"/>
      </w:pPr>
      <w:rPr>
        <w:rFonts w:hint="default"/>
        <w:lang w:val="en-US" w:eastAsia="en-US" w:bidi="ar-SA"/>
      </w:rPr>
    </w:lvl>
    <w:lvl w:ilvl="8" w:tplc="28E4190A">
      <w:numFmt w:val="bullet"/>
      <w:lvlText w:val="•"/>
      <w:lvlJc w:val="left"/>
      <w:pPr>
        <w:ind w:left="7633" w:hanging="360"/>
      </w:pPr>
      <w:rPr>
        <w:rFonts w:hint="default"/>
        <w:lang w:val="en-US" w:eastAsia="en-US" w:bidi="ar-SA"/>
      </w:rPr>
    </w:lvl>
  </w:abstractNum>
  <w:abstractNum w:abstractNumId="1" w15:restartNumberingAfterBreak="0">
    <w:nsid w:val="222769A1"/>
    <w:multiLevelType w:val="hybridMultilevel"/>
    <w:tmpl w:val="12549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443B0"/>
    <w:multiLevelType w:val="hybridMultilevel"/>
    <w:tmpl w:val="D988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85A76"/>
    <w:multiLevelType w:val="hybridMultilevel"/>
    <w:tmpl w:val="9C920A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251761">
    <w:abstractNumId w:val="0"/>
  </w:num>
  <w:num w:numId="2" w16cid:durableId="1681541700">
    <w:abstractNumId w:val="2"/>
  </w:num>
  <w:num w:numId="3" w16cid:durableId="600144799">
    <w:abstractNumId w:val="3"/>
  </w:num>
  <w:num w:numId="4" w16cid:durableId="301038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07"/>
    <w:rsid w:val="00024F6A"/>
    <w:rsid w:val="00035435"/>
    <w:rsid w:val="00052072"/>
    <w:rsid w:val="00070E26"/>
    <w:rsid w:val="000D14B2"/>
    <w:rsid w:val="000D3D6E"/>
    <w:rsid w:val="00134C14"/>
    <w:rsid w:val="00197C5E"/>
    <w:rsid w:val="001A5860"/>
    <w:rsid w:val="001C3D5E"/>
    <w:rsid w:val="00227D57"/>
    <w:rsid w:val="0030444E"/>
    <w:rsid w:val="0032189F"/>
    <w:rsid w:val="003279C4"/>
    <w:rsid w:val="00376B51"/>
    <w:rsid w:val="0038600D"/>
    <w:rsid w:val="003C7B96"/>
    <w:rsid w:val="00467CFB"/>
    <w:rsid w:val="004748B5"/>
    <w:rsid w:val="004E68AD"/>
    <w:rsid w:val="005111D3"/>
    <w:rsid w:val="0053671C"/>
    <w:rsid w:val="00542664"/>
    <w:rsid w:val="0058075B"/>
    <w:rsid w:val="00591613"/>
    <w:rsid w:val="00593BB4"/>
    <w:rsid w:val="005A222B"/>
    <w:rsid w:val="005A3C78"/>
    <w:rsid w:val="005F4EF6"/>
    <w:rsid w:val="005F531A"/>
    <w:rsid w:val="00602507"/>
    <w:rsid w:val="006226BD"/>
    <w:rsid w:val="0062649E"/>
    <w:rsid w:val="00672DAE"/>
    <w:rsid w:val="00673C78"/>
    <w:rsid w:val="00680E8C"/>
    <w:rsid w:val="00737341"/>
    <w:rsid w:val="007412ED"/>
    <w:rsid w:val="007713B3"/>
    <w:rsid w:val="00772EBC"/>
    <w:rsid w:val="007A3533"/>
    <w:rsid w:val="007B5633"/>
    <w:rsid w:val="008113F5"/>
    <w:rsid w:val="008A16F7"/>
    <w:rsid w:val="008C4888"/>
    <w:rsid w:val="008E2C8C"/>
    <w:rsid w:val="008F642B"/>
    <w:rsid w:val="00913946"/>
    <w:rsid w:val="00922EB3"/>
    <w:rsid w:val="009558B7"/>
    <w:rsid w:val="00976BC0"/>
    <w:rsid w:val="00980F6E"/>
    <w:rsid w:val="00986AB2"/>
    <w:rsid w:val="009E7FA3"/>
    <w:rsid w:val="00A05325"/>
    <w:rsid w:val="00B31186"/>
    <w:rsid w:val="00B55460"/>
    <w:rsid w:val="00B842E4"/>
    <w:rsid w:val="00B953E4"/>
    <w:rsid w:val="00BF1F40"/>
    <w:rsid w:val="00BF5AF0"/>
    <w:rsid w:val="00C16667"/>
    <w:rsid w:val="00C200C9"/>
    <w:rsid w:val="00C33FD1"/>
    <w:rsid w:val="00C63CA3"/>
    <w:rsid w:val="00C85437"/>
    <w:rsid w:val="00C919BF"/>
    <w:rsid w:val="00CB7E88"/>
    <w:rsid w:val="00D041B1"/>
    <w:rsid w:val="00D30940"/>
    <w:rsid w:val="00D92C2E"/>
    <w:rsid w:val="00DD4FA2"/>
    <w:rsid w:val="00E153C8"/>
    <w:rsid w:val="00E33223"/>
    <w:rsid w:val="00E6318A"/>
    <w:rsid w:val="00E72604"/>
    <w:rsid w:val="00E9014D"/>
    <w:rsid w:val="00E92402"/>
    <w:rsid w:val="00E95B74"/>
    <w:rsid w:val="00EA045A"/>
    <w:rsid w:val="00EA7B71"/>
    <w:rsid w:val="00EE418C"/>
    <w:rsid w:val="00F00D70"/>
    <w:rsid w:val="00F40EDB"/>
    <w:rsid w:val="00F57CB9"/>
    <w:rsid w:val="00F61EE5"/>
    <w:rsid w:val="00F76260"/>
    <w:rsid w:val="00F9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94F88"/>
  <w15:docId w15:val="{E6F7849C-21E4-4902-BF5B-74A3A659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01"/>
      <w:ind w:left="100" w:hanging="34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5"/>
      <w:ind w:left="2308" w:right="2325"/>
      <w:jc w:val="center"/>
    </w:pPr>
    <w:rPr>
      <w:b/>
      <w:bCs/>
      <w:sz w:val="40"/>
      <w:szCs w:val="40"/>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7B71"/>
    <w:pPr>
      <w:tabs>
        <w:tab w:val="center" w:pos="4680"/>
        <w:tab w:val="right" w:pos="9360"/>
      </w:tabs>
    </w:pPr>
  </w:style>
  <w:style w:type="character" w:customStyle="1" w:styleId="HeaderChar">
    <w:name w:val="Header Char"/>
    <w:basedOn w:val="DefaultParagraphFont"/>
    <w:link w:val="Header"/>
    <w:uiPriority w:val="99"/>
    <w:rsid w:val="00EA7B71"/>
    <w:rPr>
      <w:rFonts w:ascii="Georgia" w:eastAsia="Georgia" w:hAnsi="Georgia" w:cs="Georgia"/>
    </w:rPr>
  </w:style>
  <w:style w:type="paragraph" w:styleId="Footer">
    <w:name w:val="footer"/>
    <w:basedOn w:val="Normal"/>
    <w:link w:val="FooterChar"/>
    <w:uiPriority w:val="99"/>
    <w:unhideWhenUsed/>
    <w:rsid w:val="00EA7B71"/>
    <w:pPr>
      <w:tabs>
        <w:tab w:val="center" w:pos="4680"/>
        <w:tab w:val="right" w:pos="9360"/>
      </w:tabs>
    </w:pPr>
  </w:style>
  <w:style w:type="character" w:customStyle="1" w:styleId="FooterChar">
    <w:name w:val="Footer Char"/>
    <w:basedOn w:val="DefaultParagraphFont"/>
    <w:link w:val="Footer"/>
    <w:uiPriority w:val="99"/>
    <w:rsid w:val="00EA7B71"/>
    <w:rPr>
      <w:rFonts w:ascii="Georgia" w:eastAsia="Georgia" w:hAnsi="Georgia" w:cs="Georgia"/>
    </w:rPr>
  </w:style>
  <w:style w:type="table" w:styleId="TableGrid">
    <w:name w:val="Table Grid"/>
    <w:basedOn w:val="TableNormal"/>
    <w:uiPriority w:val="39"/>
    <w:rsid w:val="00673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Aien Geronimo</dc:creator>
  <cp:lastModifiedBy>hanna jose</cp:lastModifiedBy>
  <cp:revision>2</cp:revision>
  <dcterms:created xsi:type="dcterms:W3CDTF">2023-12-02T14:55:00Z</dcterms:created>
  <dcterms:modified xsi:type="dcterms:W3CDTF">2023-12-02T14:55:00Z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Microsoft® Word LTSC</vt:lpwstr>
  </property>
  <property fmtid="{D5CDD505-2E9C-101B-9397-08002B2CF9AE}" pid="4" name="LastSaved">
    <vt:filetime>2023-10-23T00:00:00Z</vt:filetime>
  </property>
  <property fmtid="{D5CDD505-2E9C-101B-9397-08002B2CF9AE}" pid="5" name="Producer">
    <vt:lpwstr>Microsoft® Word LTSC</vt:lpwstr>
  </property>
  <property fmtid="{D5CDD505-2E9C-101B-9397-08002B2CF9AE}" pid="6" name="GrammarlyDocumentId">
    <vt:lpwstr>047b43c67657582f55eee9d76884f56c279494e74c32ce87cdf89768cc9db4ab</vt:lpwstr>
  </property>
</Properties>
</file>