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4"/>
          <w:szCs w:val="44"/>
        </w:rPr>
        <w:t xml:space="preserve">스마트시티 조성사업 월간 추진현황 보고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444444"/>
          <w:sz w:val="32"/>
          <w:szCs w:val="32"/>
        </w:rPr>
        <w:t xml:space="preserve">(2026년 9월)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아산시 강소형 스마트시티 조성사업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사업위치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충청남도 아산시 도고면·배방읍 일원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사업기간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2023.12 ~ 2026.12 (3년, 12개월 연장)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총사업비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240억원 (국비 120억 · 도비 28.8억 · 시비 91.2억)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제출일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2026-09-02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제출처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아산시 스마트도시팀</w:t>
            </w:r>
          </w:p>
        </w:tc>
      </w:tr>
    </w:tbl>
    <w:p>
      <w:pPr>
        <w:spacing w:before="8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아 산 시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사업 총괄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45.64%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73.4%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89.4%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D-120</w:t>
            </w:r>
          </w:p>
        </w:tc>
      </w:tr>
    </w:tbl>
    <w:p>
      <w:pPr>
        <w:spacing w:after="200"/>
      </w:pP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0C5460"/>
          <w:sz w:val="18"/>
          <w:szCs w:val="18"/>
        </w:rPr>
        <w:t xml:space="preserve">💡 AI 분석: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2026년 9월 기준 예산 집행률 45.64%, WBS 공정률 73.4%. 기간 소진율(89.4%) 대비 집행률 격차 44%p. 잔여 D-120일.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재원별 집행현황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26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재원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총예산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집행액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국비(50%)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120.0억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54.8억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65.2억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45.64%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도비(12%)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28.8억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13.1억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15.7억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45.64%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시비(38%)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91.2억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41.6억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49.6억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45.64%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240.0억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109.5억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45.64%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비목별 집행현황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4.85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2.7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64.8%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1.06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0.2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81.6%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0.9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42.39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47.7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47.0%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26.44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72.9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세부사업별 추진현황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300"/>
        <w:gridCol w:w="1300"/>
        <w:gridCol w:w="1300"/>
        <w:gridCol w:w="18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세부사업명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7.35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전자시민증(ECC)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5.46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45.5%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0.35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0.8%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2.98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49.6%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3.15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52.5%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노마드(NOP)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8.20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41.0%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융복합 서비스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4.37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58.3%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디지털링크 플랫폼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WBS 공정 현황</w:t>
      </w:r>
    </w:p>
    <w:p>
      <w:pPr>
        <w:shd w:fill="E8F4FD" w:val="clear"/>
        <w:spacing w:after="12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전체 175건 중 완료 108건, 지연 11건.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108건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48건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11건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8건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61.7%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주요 이슈 및 대응현황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이슈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집행률 격차 44%p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기간소진율 대비 집행률 부족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미착수 사업 발주 가속화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지연 10건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계획 대비 실적 미달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원인 분석 및 만회 계획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향후 추진계획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미착수 사업 발주 진행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지연 작업 만회 계획 수립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월간 집행 실적 점검</w:t>
      </w:r>
    </w:p>
    <w:p>
      <w:pPr>
        <w:spacing w:after="12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6-1.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대형 미집행 사업 발주 가속화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비목간 전용 검토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준공 로드맵 재설정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스마트도시팀 | 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월별 관리카드 (2026년 9월)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2026-09-02T00:40:59.104Z</dcterms:created>
  <dcterms:modified xsi:type="dcterms:W3CDTF">2026-09-02T00:40:59.104Z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